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napToGrid w:val="0"/>
        <w:spacing w:line="600" w:lineRule="exact"/>
        <w:jc w:val="center"/>
        <w:rPr>
          <w:rFonts w:ascii="仿宋_GB2312" w:hAnsi="宋体" w:eastAsia="仿宋_GB2312"/>
          <w:b w:val="0"/>
          <w:bCs/>
          <w:sz w:val="32"/>
          <w:szCs w:val="32"/>
        </w:rPr>
      </w:pPr>
    </w:p>
    <w:p>
      <w:pPr>
        <w:pStyle w:val="3"/>
        <w:snapToGrid w:val="0"/>
        <w:spacing w:line="600" w:lineRule="exact"/>
        <w:jc w:val="center"/>
        <w:rPr>
          <w:rFonts w:ascii="仿宋_GB2312" w:hAnsi="宋体" w:eastAsia="仿宋_GB2312"/>
          <w:b w:val="0"/>
          <w:bCs/>
          <w:sz w:val="32"/>
          <w:szCs w:val="32"/>
        </w:rPr>
      </w:pPr>
    </w:p>
    <w:p>
      <w:pPr>
        <w:pStyle w:val="3"/>
        <w:snapToGrid w:val="0"/>
        <w:spacing w:line="600" w:lineRule="exact"/>
        <w:jc w:val="center"/>
        <w:rPr>
          <w:rFonts w:ascii="仿宋_GB2312" w:hAnsi="宋体" w:eastAsia="仿宋_GB2312"/>
          <w:b w:val="0"/>
          <w:bCs/>
          <w:sz w:val="32"/>
          <w:szCs w:val="32"/>
        </w:rPr>
      </w:pPr>
    </w:p>
    <w:p>
      <w:pPr>
        <w:pStyle w:val="3"/>
        <w:snapToGrid w:val="0"/>
        <w:spacing w:line="600" w:lineRule="exact"/>
        <w:jc w:val="center"/>
        <w:rPr>
          <w:rFonts w:ascii="仿宋_GB2312" w:hAnsi="宋体" w:eastAsia="仿宋_GB2312"/>
          <w:b w:val="0"/>
          <w:bCs/>
          <w:sz w:val="32"/>
          <w:szCs w:val="32"/>
        </w:rPr>
      </w:pPr>
    </w:p>
    <w:p>
      <w:pPr>
        <w:pStyle w:val="3"/>
        <w:snapToGrid w:val="0"/>
        <w:spacing w:line="600" w:lineRule="exact"/>
        <w:jc w:val="center"/>
        <w:rPr>
          <w:rFonts w:ascii="仿宋_GB2312" w:hAnsi="宋体" w:eastAsia="仿宋_GB2312"/>
          <w:b w:val="0"/>
          <w:bCs/>
          <w:sz w:val="32"/>
          <w:szCs w:val="32"/>
        </w:rPr>
      </w:pPr>
    </w:p>
    <w:p>
      <w:pPr>
        <w:pStyle w:val="3"/>
        <w:snapToGrid w:val="0"/>
        <w:spacing w:line="600" w:lineRule="exact"/>
        <w:jc w:val="center"/>
        <w:rPr>
          <w:rFonts w:ascii="仿宋_GB2312" w:hAnsi="宋体" w:eastAsia="仿宋_GB2312"/>
          <w:b w:val="0"/>
          <w:bCs/>
          <w:sz w:val="32"/>
          <w:szCs w:val="32"/>
        </w:rPr>
      </w:pPr>
      <w:r>
        <w:rPr>
          <w:rFonts w:hint="eastAsia" w:ascii="仿宋_GB2312" w:hAnsi="宋体" w:eastAsia="仿宋_GB2312"/>
          <w:b w:val="0"/>
          <w:bCs/>
          <w:sz w:val="32"/>
          <w:szCs w:val="32"/>
        </w:rPr>
        <w:t xml:space="preserve">鄂民政发〔2021〕80号 </w:t>
      </w:r>
    </w:p>
    <w:p>
      <w:pPr>
        <w:widowControl/>
        <w:jc w:val="center"/>
        <w:rPr>
          <w:b/>
          <w:sz w:val="44"/>
          <w:szCs w:val="32"/>
        </w:rPr>
      </w:pPr>
    </w:p>
    <w:p>
      <w:pPr>
        <w:jc w:val="center"/>
        <w:rPr>
          <w:rFonts w:ascii="方正小标宋简体" w:hAnsi="Times New Roman" w:eastAsia="方正小标宋简体"/>
          <w:sz w:val="44"/>
          <w:szCs w:val="44"/>
        </w:rPr>
      </w:pPr>
      <w:r>
        <w:rPr>
          <w:rFonts w:hint="eastAsia" w:ascii="方正小标宋简体" w:hAnsi="Times New Roman" w:eastAsia="方正小标宋简体"/>
          <w:sz w:val="44"/>
          <w:szCs w:val="44"/>
        </w:rPr>
        <w:t>关于进一步加强临时救助工作的通知</w:t>
      </w:r>
    </w:p>
    <w:p>
      <w:pPr>
        <w:ind w:firstLine="640"/>
        <w:rPr>
          <w:rFonts w:eastAsia="仿宋_GB2312" w:asciiTheme="minorHAnsi" w:hAnsiTheme="minorHAnsi" w:cstheme="minorBidi"/>
          <w:sz w:val="32"/>
          <w:szCs w:val="32"/>
        </w:rPr>
      </w:pPr>
    </w:p>
    <w:p>
      <w:pPr>
        <w:rPr>
          <w:rFonts w:eastAsia="仿宋_GB2312" w:asciiTheme="minorHAnsi" w:hAnsiTheme="minorHAnsi" w:cstheme="minorBidi"/>
          <w:sz w:val="32"/>
          <w:szCs w:val="32"/>
        </w:rPr>
      </w:pPr>
      <w:r>
        <w:rPr>
          <w:rFonts w:hint="eastAsia" w:eastAsia="仿宋_GB2312" w:asciiTheme="minorHAnsi" w:hAnsiTheme="minorHAnsi" w:cstheme="minorBidi"/>
          <w:sz w:val="32"/>
          <w:szCs w:val="32"/>
        </w:rPr>
        <w:t>各乡镇民政办：</w:t>
      </w:r>
    </w:p>
    <w:p>
      <w:pPr>
        <w:ind w:firstLine="640"/>
        <w:rPr>
          <w:rFonts w:eastAsia="仿宋_GB2312" w:asciiTheme="minorHAnsi" w:hAnsiTheme="minorHAnsi" w:cstheme="minorBidi"/>
          <w:sz w:val="32"/>
          <w:szCs w:val="32"/>
        </w:rPr>
      </w:pPr>
      <w:r>
        <w:rPr>
          <w:rFonts w:hint="eastAsia" w:eastAsia="仿宋_GB2312" w:asciiTheme="minorHAnsi" w:hAnsiTheme="minorHAnsi" w:cstheme="minorBidi"/>
          <w:sz w:val="32"/>
          <w:szCs w:val="32"/>
        </w:rPr>
        <w:t>为进一步规范临时救助工作，落实中共中央办公厅 国务院办公厅《关于改革 完善社会救助制度的意见》（中办发</w:t>
      </w:r>
      <w:r>
        <w:rPr>
          <w:rFonts w:hint="eastAsia" w:ascii="仿宋" w:hAnsi="仿宋" w:eastAsia="仿宋" w:cs="仿宋"/>
          <w:sz w:val="32"/>
          <w:szCs w:val="32"/>
        </w:rPr>
        <w:t>〔2020〕18</w:t>
      </w:r>
      <w:r>
        <w:rPr>
          <w:rFonts w:hint="eastAsia" w:eastAsia="仿宋_GB2312" w:asciiTheme="minorHAnsi" w:hAnsiTheme="minorHAnsi" w:cstheme="minorBidi"/>
          <w:sz w:val="32"/>
          <w:szCs w:val="32"/>
        </w:rPr>
        <w:t>号）和自治区民政厅《关于进一步加强临时救助工作的通知》（内民政发</w:t>
      </w:r>
      <w:r>
        <w:rPr>
          <w:rFonts w:hint="eastAsia" w:ascii="仿宋" w:hAnsi="仿宋" w:eastAsia="仿宋" w:cs="仿宋"/>
          <w:sz w:val="32"/>
          <w:szCs w:val="32"/>
        </w:rPr>
        <w:t>〔2021〕38</w:t>
      </w:r>
      <w:r>
        <w:rPr>
          <w:rFonts w:hint="eastAsia" w:eastAsia="仿宋_GB2312" w:asciiTheme="minorHAnsi" w:hAnsiTheme="minorHAnsi" w:cstheme="minorBidi"/>
          <w:sz w:val="32"/>
          <w:szCs w:val="32"/>
        </w:rPr>
        <w:t>号）等有关文件要求，充分发挥临时救助托底、应急、过渡、衔接、补充的制度效能，强化急难救助功能，切实解决城乡群众突发性、紧迫性、临时性基本生活困难。现将进一步做好临时救助工作通知如下：</w:t>
      </w:r>
    </w:p>
    <w:p>
      <w:pPr>
        <w:widowControl/>
        <w:numPr>
          <w:ilvl w:val="0"/>
          <w:numId w:val="1"/>
        </w:numPr>
        <w:ind w:left="1366"/>
        <w:jc w:val="left"/>
        <w:rPr>
          <w:rFonts w:ascii="黑体" w:hAnsi="黑体" w:eastAsia="黑体"/>
          <w:sz w:val="32"/>
          <w:szCs w:val="32"/>
        </w:rPr>
      </w:pPr>
      <w:r>
        <w:rPr>
          <w:rFonts w:hint="eastAsia" w:ascii="黑体" w:hAnsi="黑体" w:eastAsia="黑体"/>
          <w:sz w:val="32"/>
          <w:szCs w:val="32"/>
        </w:rPr>
        <w:t>进一步明确对象范围和类别</w:t>
      </w:r>
    </w:p>
    <w:p>
      <w:pPr>
        <w:ind w:firstLine="641"/>
        <w:rPr>
          <w:rFonts w:eastAsia="仿宋_GB2312" w:asciiTheme="minorHAnsi" w:hAnsiTheme="minorHAnsi" w:cstheme="minorBidi"/>
          <w:sz w:val="32"/>
          <w:szCs w:val="32"/>
        </w:rPr>
      </w:pPr>
      <w:r>
        <w:rPr>
          <w:rFonts w:hint="eastAsia" w:ascii="楷体" w:hAnsi="楷体" w:eastAsia="楷体" w:cs="楷体"/>
          <w:sz w:val="32"/>
          <w:szCs w:val="32"/>
        </w:rPr>
        <w:t>急难型救助</w:t>
      </w:r>
      <w:r>
        <w:rPr>
          <w:rFonts w:hint="eastAsia" w:eastAsia="仿宋_GB2312" w:asciiTheme="minorHAnsi" w:hAnsiTheme="minorHAnsi" w:cstheme="minorBidi"/>
          <w:sz w:val="32"/>
          <w:szCs w:val="32"/>
        </w:rPr>
        <w:t>。主要包括因火灾、交通事故等意外事件，遭遇自然灾害、疫情，家庭成员突发重大疾病及遭遇其他特殊困难等原因，导致基本生活暂时出现严重困难、需要立即采取救助措施的家庭和个人。对急难型救助对象，要取消户籍地、居住地申请限制，对不持有当地居住证的非本地户籍人员，在急难发生地受理申请、审核并发放临时救助金。</w:t>
      </w:r>
    </w:p>
    <w:p>
      <w:pPr>
        <w:ind w:firstLine="645"/>
        <w:rPr>
          <w:rFonts w:ascii="仿宋" w:hAnsi="仿宋" w:eastAsia="仿宋"/>
          <w:sz w:val="32"/>
          <w:szCs w:val="32"/>
        </w:rPr>
      </w:pPr>
      <w:r>
        <w:rPr>
          <w:rFonts w:hint="eastAsia" w:ascii="楷体" w:hAnsi="楷体" w:eastAsia="楷体" w:cs="楷体"/>
          <w:sz w:val="32"/>
          <w:szCs w:val="32"/>
        </w:rPr>
        <w:t>支出型救助</w:t>
      </w:r>
      <w:r>
        <w:rPr>
          <w:rFonts w:hint="eastAsia" w:eastAsia="仿宋_GB2312" w:asciiTheme="minorHAnsi" w:hAnsiTheme="minorHAnsi" w:cstheme="minorBidi"/>
          <w:sz w:val="32"/>
          <w:szCs w:val="32"/>
        </w:rPr>
        <w:t>。主要包括生活困难家庭因教育、医疗等生活必需支出突然增加超出家庭承受能力，导致基本生活一定时期内出现严重困难的家庭。其中教育生活必须支出包括普通高中、中等职业技术学校、普通高等教育的学历教育学费、住宿费、生活费等，</w:t>
      </w:r>
      <w:r>
        <w:rPr>
          <w:rFonts w:hint="eastAsia" w:ascii="仿宋_GB2312" w:hAnsi="宋体" w:eastAsia="仿宋_GB2312" w:cs="宋体"/>
          <w:sz w:val="32"/>
          <w:szCs w:val="32"/>
        </w:rPr>
        <w:t>医疗生活必须支出包括</w:t>
      </w:r>
      <w:r>
        <w:rPr>
          <w:rFonts w:hint="eastAsia" w:ascii="仿宋" w:hAnsi="仿宋" w:eastAsia="仿宋"/>
          <w:sz w:val="32"/>
          <w:szCs w:val="32"/>
        </w:rPr>
        <w:t>儿童急性白血病、儿童先天性心脏病、终末期肾病、妇女宫颈癌、乳腺癌、重度精神病、艾滋病机会性感染、耐多药肺结核、肺癌、食道癌、胃癌、结肠癌、直肠癌、慢性粒细胞白血病、急性心肌梗塞、脑梗死、血友病、Ⅰ型糖尿病、甲亢、唇腭裂等</w:t>
      </w:r>
      <w:r>
        <w:rPr>
          <w:rFonts w:hint="eastAsia" w:ascii="仿宋_GB2312" w:hAnsi="宋体" w:eastAsia="仿宋_GB2312" w:cs="宋体"/>
          <w:sz w:val="32"/>
          <w:szCs w:val="32"/>
        </w:rPr>
        <w:t>重特大疾病以及其他</w:t>
      </w:r>
      <w:r>
        <w:rPr>
          <w:rFonts w:hint="eastAsia" w:ascii="仿宋" w:hAnsi="仿宋" w:eastAsia="仿宋"/>
          <w:sz w:val="32"/>
          <w:szCs w:val="32"/>
        </w:rPr>
        <w:t>花销巨大的疾病需要长期治疗产生的费用,经城乡居民基本医疗保险、城乡居民大病保险、医疗救助、商业补充保险等支付后，个人自付的医疗费用以及因此产生的交通费、生活费等。</w:t>
      </w:r>
    </w:p>
    <w:p>
      <w:pPr>
        <w:ind w:firstLine="641"/>
        <w:rPr>
          <w:rFonts w:eastAsia="仿宋_GB2312" w:asciiTheme="minorHAnsi" w:hAnsiTheme="minorHAnsi" w:cstheme="minorBidi"/>
          <w:sz w:val="32"/>
          <w:szCs w:val="32"/>
        </w:rPr>
      </w:pPr>
      <w:bookmarkStart w:id="0" w:name="OLE_LINK1"/>
      <w:r>
        <w:rPr>
          <w:rFonts w:hint="eastAsia" w:eastAsia="仿宋_GB2312" w:asciiTheme="minorHAnsi" w:hAnsiTheme="minorHAnsi" w:cstheme="minorBidi"/>
          <w:sz w:val="32"/>
          <w:szCs w:val="32"/>
        </w:rPr>
        <w:t>对查无身份信息的临时遇困人员，旗民政局救助管理机构可以按生活无着流浪乞讨人员救助管理有关规定审核审批、提供救助。</w:t>
      </w:r>
    </w:p>
    <w:bookmarkEnd w:id="0"/>
    <w:p>
      <w:pPr>
        <w:widowControl/>
        <w:numPr>
          <w:ilvl w:val="0"/>
          <w:numId w:val="1"/>
        </w:numPr>
        <w:ind w:left="1366"/>
        <w:jc w:val="left"/>
        <w:rPr>
          <w:rFonts w:ascii="黑体" w:hAnsi="黑体" w:eastAsia="黑体"/>
          <w:sz w:val="32"/>
          <w:szCs w:val="32"/>
        </w:rPr>
      </w:pPr>
      <w:r>
        <w:rPr>
          <w:rFonts w:hint="eastAsia" w:ascii="黑体" w:hAnsi="黑体" w:eastAsia="黑体"/>
          <w:sz w:val="32"/>
          <w:szCs w:val="32"/>
        </w:rPr>
        <w:t>进一步优化审核审批程序</w:t>
      </w:r>
    </w:p>
    <w:p>
      <w:pPr>
        <w:ind w:firstLine="640"/>
        <w:rPr>
          <w:rFonts w:eastAsia="仿宋_GB2312" w:asciiTheme="minorHAnsi" w:hAnsiTheme="minorHAnsi" w:cstheme="minorBidi"/>
          <w:sz w:val="32"/>
          <w:szCs w:val="32"/>
        </w:rPr>
      </w:pPr>
      <w:r>
        <w:rPr>
          <w:rFonts w:hint="eastAsia" w:eastAsia="仿宋_GB2312" w:asciiTheme="minorHAnsi" w:hAnsiTheme="minorHAnsi" w:cstheme="minorBidi"/>
          <w:sz w:val="32"/>
          <w:szCs w:val="32"/>
        </w:rPr>
        <w:t>针对不同的救助类型，采取旗、镇（乡）分类救助、分级审批的方式，简化审核审批程序，增强救助时效性。</w:t>
      </w:r>
    </w:p>
    <w:p>
      <w:pPr>
        <w:widowControl/>
        <w:ind w:firstLine="640" w:firstLineChars="200"/>
        <w:jc w:val="left"/>
        <w:rPr>
          <w:rFonts w:ascii="楷体" w:hAnsi="楷体" w:eastAsia="楷体"/>
          <w:bCs/>
          <w:sz w:val="32"/>
          <w:szCs w:val="32"/>
        </w:rPr>
      </w:pPr>
      <w:r>
        <w:rPr>
          <w:rFonts w:hint="eastAsia" w:ascii="楷体" w:hAnsi="楷体" w:eastAsia="楷体"/>
          <w:bCs/>
          <w:sz w:val="32"/>
          <w:szCs w:val="32"/>
        </w:rPr>
        <w:t>（一）分级审批</w:t>
      </w:r>
    </w:p>
    <w:p>
      <w:pPr>
        <w:ind w:firstLine="640"/>
        <w:rPr>
          <w:rFonts w:eastAsia="仿宋_GB2312" w:asciiTheme="minorHAnsi" w:hAnsiTheme="minorHAnsi" w:cstheme="minorBidi"/>
          <w:sz w:val="32"/>
          <w:szCs w:val="32"/>
        </w:rPr>
      </w:pPr>
      <w:r>
        <w:rPr>
          <w:rFonts w:hint="eastAsia" w:eastAsia="仿宋_GB2312" w:asciiTheme="minorHAnsi" w:hAnsiTheme="minorHAnsi" w:cstheme="minorBidi"/>
          <w:sz w:val="32"/>
          <w:szCs w:val="32"/>
        </w:rPr>
        <w:t>原则上救助金额在当地当年月城市低保标准</w:t>
      </w:r>
      <w:r>
        <w:rPr>
          <w:rFonts w:hint="eastAsia" w:ascii="仿宋" w:hAnsi="仿宋" w:eastAsia="仿宋" w:cs="仿宋"/>
          <w:sz w:val="32"/>
          <w:szCs w:val="32"/>
        </w:rPr>
        <w:t>5</w:t>
      </w:r>
      <w:r>
        <w:rPr>
          <w:rFonts w:hint="eastAsia" w:eastAsia="仿宋_GB2312" w:asciiTheme="minorHAnsi" w:hAnsiTheme="minorHAnsi" w:cstheme="minorBidi"/>
          <w:sz w:val="32"/>
          <w:szCs w:val="32"/>
        </w:rPr>
        <w:t>倍（含）以内的，由乡镇政府负责审批；救助金额在</w:t>
      </w:r>
      <w:r>
        <w:rPr>
          <w:rFonts w:hint="eastAsia" w:ascii="仿宋" w:hAnsi="仿宋" w:eastAsia="仿宋" w:cs="仿宋"/>
          <w:sz w:val="32"/>
          <w:szCs w:val="32"/>
        </w:rPr>
        <w:t>1.5</w:t>
      </w:r>
      <w:r>
        <w:rPr>
          <w:rFonts w:hint="eastAsia" w:eastAsia="仿宋_GB2312" w:asciiTheme="minorHAnsi" w:hAnsiTheme="minorHAnsi" w:cstheme="minorBidi"/>
          <w:sz w:val="32"/>
          <w:szCs w:val="32"/>
        </w:rPr>
        <w:t>万元（含）以内的，由旗民政局负责审批；救助金额在</w:t>
      </w:r>
      <w:r>
        <w:rPr>
          <w:rFonts w:hint="eastAsia" w:ascii="仿宋" w:hAnsi="仿宋" w:eastAsia="仿宋" w:cs="仿宋"/>
          <w:sz w:val="32"/>
          <w:szCs w:val="32"/>
        </w:rPr>
        <w:t>1.5</w:t>
      </w:r>
      <w:r>
        <w:rPr>
          <w:rFonts w:hint="eastAsia" w:eastAsia="仿宋_GB2312" w:asciiTheme="minorHAnsi" w:hAnsiTheme="minorHAnsi" w:cstheme="minorBidi"/>
          <w:sz w:val="32"/>
          <w:szCs w:val="32"/>
        </w:rPr>
        <w:t>万元以上的实施特别救助，由旗困难群众基本生活保障工作协调机制按照“一事一议”确定救助金额。</w:t>
      </w:r>
    </w:p>
    <w:p>
      <w:pPr>
        <w:widowControl/>
        <w:ind w:left="640"/>
        <w:jc w:val="left"/>
        <w:rPr>
          <w:rFonts w:ascii="楷体" w:hAnsi="楷体" w:eastAsia="楷体"/>
          <w:bCs/>
          <w:sz w:val="32"/>
          <w:szCs w:val="32"/>
        </w:rPr>
      </w:pPr>
      <w:r>
        <w:rPr>
          <w:rFonts w:hint="eastAsia" w:ascii="楷体" w:hAnsi="楷体" w:eastAsia="楷体"/>
          <w:bCs/>
          <w:sz w:val="32"/>
          <w:szCs w:val="32"/>
        </w:rPr>
        <w:t>（二）分类审批</w:t>
      </w:r>
    </w:p>
    <w:p>
      <w:pPr>
        <w:ind w:firstLine="640"/>
        <w:rPr>
          <w:rFonts w:eastAsia="仿宋_GB2312" w:asciiTheme="minorHAnsi" w:hAnsiTheme="minorHAnsi" w:cstheme="minorBidi"/>
          <w:sz w:val="32"/>
          <w:szCs w:val="32"/>
        </w:rPr>
      </w:pPr>
      <w:r>
        <w:rPr>
          <w:rFonts w:hint="eastAsia" w:eastAsia="仿宋_GB2312" w:asciiTheme="minorHAnsi" w:hAnsiTheme="minorHAnsi" w:cstheme="minorBidi"/>
          <w:sz w:val="32"/>
          <w:szCs w:val="32"/>
        </w:rPr>
        <w:t>急难型救助对象在急难发生地提出救助申请，对情况紧急、须立即采取救助措施以防止造成无法挽回的损失或无法改变的严重后果的，旗民政局、乡镇政府采取“先行救助”的方式，根据急难情况简化或取消家庭经济状况核对、公示等环节，直接予以救助，待急难情况解除后，按规定补齐相关手续。符合先行救助条件的，城镇要在</w:t>
      </w:r>
      <w:r>
        <w:rPr>
          <w:rFonts w:hint="eastAsia" w:ascii="仿宋" w:hAnsi="仿宋" w:eastAsia="仿宋" w:cs="仿宋"/>
          <w:sz w:val="32"/>
          <w:szCs w:val="32"/>
        </w:rPr>
        <w:t>2</w:t>
      </w:r>
      <w:r>
        <w:rPr>
          <w:rFonts w:hint="eastAsia" w:eastAsia="仿宋_GB2312" w:asciiTheme="minorHAnsi" w:hAnsiTheme="minorHAnsi" w:cstheme="minorBidi"/>
          <w:sz w:val="32"/>
          <w:szCs w:val="32"/>
        </w:rPr>
        <w:t>个工作日内完成审批工作，农村要在</w:t>
      </w:r>
      <w:r>
        <w:rPr>
          <w:rFonts w:hint="eastAsia" w:ascii="仿宋" w:hAnsi="仿宋" w:eastAsia="仿宋" w:cs="仿宋"/>
          <w:sz w:val="32"/>
          <w:szCs w:val="32"/>
        </w:rPr>
        <w:t>4</w:t>
      </w:r>
      <w:r>
        <w:rPr>
          <w:rFonts w:hint="eastAsia" w:eastAsia="仿宋_GB2312" w:asciiTheme="minorHAnsi" w:hAnsiTheme="minorHAnsi" w:cstheme="minorBidi"/>
          <w:sz w:val="32"/>
          <w:szCs w:val="32"/>
        </w:rPr>
        <w:t>个工作日内完成审批工作。</w:t>
      </w:r>
    </w:p>
    <w:p>
      <w:pPr>
        <w:ind w:firstLine="640"/>
        <w:rPr>
          <w:rFonts w:eastAsia="仿宋_GB2312" w:asciiTheme="minorHAnsi" w:hAnsiTheme="minorHAnsi" w:cstheme="minorBidi"/>
          <w:sz w:val="32"/>
          <w:szCs w:val="32"/>
        </w:rPr>
      </w:pPr>
      <w:r>
        <w:rPr>
          <w:rFonts w:hint="eastAsia" w:eastAsia="仿宋_GB2312" w:asciiTheme="minorHAnsi" w:hAnsiTheme="minorHAnsi" w:cstheme="minorBidi"/>
          <w:sz w:val="32"/>
          <w:szCs w:val="32"/>
        </w:rPr>
        <w:t>支出型救助对象在户籍所在地或居住地提出救助申请，要严格按照家庭经济状况核对、入户调查、公示等审核审批程序办理，申请临时救助时应提供《临时救助申请书》、身份证明、家庭基本情况和遭遇困难证明等相关材料并签署《家庭收入、财产核对授权书》，乡镇要落实证明事项告知承诺制，取消可以通过政务服务平台查询的相关证明材料。对申请对象中的最低生活保障家庭及其成员、特困人员、孤儿，重点核实其生活必须支出情况，申请前</w:t>
      </w:r>
      <w:r>
        <w:rPr>
          <w:rFonts w:hint="eastAsia" w:ascii="仿宋" w:hAnsi="仿宋" w:eastAsia="仿宋" w:cs="仿宋"/>
          <w:sz w:val="32"/>
          <w:szCs w:val="32"/>
        </w:rPr>
        <w:t>6</w:t>
      </w:r>
      <w:r>
        <w:rPr>
          <w:rFonts w:hint="eastAsia" w:eastAsia="仿宋_GB2312" w:asciiTheme="minorHAnsi" w:hAnsiTheme="minorHAnsi" w:cstheme="minorBidi"/>
          <w:sz w:val="32"/>
          <w:szCs w:val="32"/>
        </w:rPr>
        <w:t>个月内通过家庭经济状况核对平台进行过家庭收入、财产核对的，可将近期核对报告作为临时救助审核审批依据。</w:t>
      </w:r>
    </w:p>
    <w:p>
      <w:pPr>
        <w:ind w:firstLine="640"/>
        <w:rPr>
          <w:rFonts w:eastAsia="仿宋_GB2312" w:asciiTheme="minorHAnsi" w:hAnsiTheme="minorHAnsi" w:cstheme="minorBidi"/>
          <w:sz w:val="32"/>
          <w:szCs w:val="32"/>
        </w:rPr>
      </w:pPr>
      <w:r>
        <w:rPr>
          <w:rFonts w:hint="eastAsia" w:eastAsia="仿宋_GB2312" w:asciiTheme="minorHAnsi" w:hAnsiTheme="minorHAnsi" w:cstheme="minorBidi"/>
          <w:sz w:val="32"/>
          <w:szCs w:val="32"/>
        </w:rPr>
        <w:t>原则上申请人以相同事由一年内申请临时救助不超过两次。可根据救助对象遭遇急难的实际情况，采取“跟进救助”、“一次性审批、分阶段救助”的方式，提高救助的精准度。</w:t>
      </w:r>
    </w:p>
    <w:p>
      <w:pPr>
        <w:widowControl/>
        <w:ind w:firstLine="640" w:firstLineChars="200"/>
        <w:jc w:val="left"/>
        <w:rPr>
          <w:rFonts w:ascii="黑体" w:hAnsi="黑体" w:eastAsia="黑体"/>
          <w:sz w:val="32"/>
          <w:szCs w:val="32"/>
        </w:rPr>
      </w:pPr>
      <w:r>
        <w:rPr>
          <w:rFonts w:hint="eastAsia" w:ascii="黑体" w:hAnsi="黑体" w:eastAsia="黑体"/>
          <w:sz w:val="32"/>
          <w:szCs w:val="32"/>
        </w:rPr>
        <w:t>三、分类分档确定临时救助标准</w:t>
      </w:r>
    </w:p>
    <w:p>
      <w:pPr>
        <w:ind w:firstLine="641"/>
        <w:rPr>
          <w:rFonts w:eastAsia="仿宋_GB2312" w:asciiTheme="minorHAnsi" w:hAnsiTheme="minorHAnsi" w:cstheme="minorBidi"/>
          <w:sz w:val="32"/>
          <w:szCs w:val="32"/>
        </w:rPr>
      </w:pPr>
      <w:r>
        <w:rPr>
          <w:rFonts w:hint="eastAsia" w:ascii="楷体" w:hAnsi="楷体" w:eastAsia="楷体"/>
          <w:sz w:val="32"/>
          <w:szCs w:val="32"/>
        </w:rPr>
        <w:t>一般救助标准。</w:t>
      </w:r>
      <w:r>
        <w:rPr>
          <w:rFonts w:hint="eastAsia" w:eastAsia="仿宋_GB2312" w:asciiTheme="minorHAnsi" w:hAnsiTheme="minorHAnsi" w:cstheme="minorBidi"/>
          <w:sz w:val="32"/>
          <w:szCs w:val="32"/>
        </w:rPr>
        <w:t>临时救助标准原则上统一按照当地城镇最低生活保障标准、共同生活的家庭成员人数和困难延续时限三个要素计算确定，具体计算方法如下：</w:t>
      </w:r>
    </w:p>
    <w:p>
      <w:pPr>
        <w:ind w:firstLine="641"/>
        <w:rPr>
          <w:rFonts w:eastAsia="仿宋_GB2312" w:asciiTheme="minorHAnsi" w:hAnsiTheme="minorHAnsi" w:cstheme="minorBidi"/>
          <w:sz w:val="32"/>
          <w:szCs w:val="32"/>
        </w:rPr>
      </w:pPr>
      <w:r>
        <w:rPr>
          <w:rFonts w:hint="eastAsia" w:eastAsia="仿宋_GB2312" w:asciiTheme="minorHAnsi" w:hAnsiTheme="minorHAnsi" w:cstheme="minorBidi"/>
          <w:sz w:val="32"/>
          <w:szCs w:val="32"/>
        </w:rPr>
        <w:t>困难家庭一次性临时救助标准＝当地当年城镇居民最低生活保障月标准×共同生活的家庭成员人数×困难延续时限（以月为单位）。</w:t>
      </w:r>
    </w:p>
    <w:p>
      <w:pPr>
        <w:ind w:firstLine="641"/>
        <w:rPr>
          <w:rFonts w:eastAsia="仿宋_GB2312" w:asciiTheme="minorHAnsi" w:hAnsiTheme="minorHAnsi" w:cstheme="minorBidi"/>
          <w:sz w:val="32"/>
          <w:szCs w:val="32"/>
        </w:rPr>
      </w:pPr>
      <w:r>
        <w:rPr>
          <w:rFonts w:hint="eastAsia" w:eastAsia="仿宋_GB2312" w:asciiTheme="minorHAnsi" w:hAnsiTheme="minorHAnsi" w:cstheme="minorBidi"/>
          <w:sz w:val="32"/>
          <w:szCs w:val="32"/>
        </w:rPr>
        <w:t>被救助困难家庭和个人的困难延续时限，一般情况下按</w:t>
      </w:r>
      <w:r>
        <w:rPr>
          <w:rFonts w:hint="eastAsia" w:ascii="仿宋" w:hAnsi="仿宋" w:eastAsia="仿宋" w:cs="仿宋"/>
          <w:sz w:val="32"/>
          <w:szCs w:val="32"/>
        </w:rPr>
        <w:t>1－6</w:t>
      </w:r>
      <w:r>
        <w:rPr>
          <w:rFonts w:hint="eastAsia" w:eastAsia="仿宋_GB2312" w:asciiTheme="minorHAnsi" w:hAnsiTheme="minorHAnsi" w:cstheme="minorBidi"/>
          <w:sz w:val="32"/>
          <w:szCs w:val="32"/>
        </w:rPr>
        <w:t>个月确定。</w:t>
      </w:r>
    </w:p>
    <w:p>
      <w:pPr>
        <w:ind w:firstLine="641"/>
        <w:rPr>
          <w:rFonts w:eastAsia="仿宋_GB2312" w:asciiTheme="minorHAnsi" w:hAnsiTheme="minorHAnsi" w:cstheme="minorBidi"/>
          <w:sz w:val="32"/>
          <w:szCs w:val="32"/>
        </w:rPr>
      </w:pPr>
      <w:r>
        <w:rPr>
          <w:rFonts w:hint="eastAsia" w:ascii="楷体" w:hAnsi="楷体" w:eastAsia="楷体"/>
          <w:sz w:val="32"/>
          <w:szCs w:val="32"/>
        </w:rPr>
        <w:t>重大困难救助标准。</w:t>
      </w:r>
      <w:r>
        <w:rPr>
          <w:rFonts w:hint="eastAsia" w:eastAsia="仿宋_GB2312" w:asciiTheme="minorHAnsi" w:hAnsiTheme="minorHAnsi" w:cstheme="minorBidi"/>
          <w:sz w:val="32"/>
          <w:szCs w:val="32"/>
        </w:rPr>
        <w:t>急难型救助对象遭遇重大生活困难，要加大救助力度，救助金额可突破一般救助标准，由旗困难群众基本生活保障工作协调机制通过“一事一议”研究审定。在“一事一议”期间，乡镇政府、旗民政局可根据急难情况先行救助，金额不超过各级审批权限。</w:t>
      </w:r>
    </w:p>
    <w:p>
      <w:pPr>
        <w:ind w:firstLine="641"/>
        <w:rPr>
          <w:rFonts w:eastAsia="仿宋_GB2312" w:asciiTheme="minorHAnsi" w:hAnsiTheme="minorHAnsi" w:cstheme="minorBidi"/>
          <w:sz w:val="32"/>
          <w:szCs w:val="32"/>
        </w:rPr>
      </w:pPr>
      <w:r>
        <w:rPr>
          <w:rFonts w:hint="eastAsia" w:eastAsia="仿宋_GB2312" w:asciiTheme="minorHAnsi" w:hAnsiTheme="minorHAnsi" w:cstheme="minorBidi"/>
          <w:sz w:val="32"/>
          <w:szCs w:val="32"/>
        </w:rPr>
        <w:t>支出型救助对象遭遇重大生活困难，造成家庭重大刚性支出经社会保险、社会救助、社会帮扶后，自负部分远远超过家庭或个人承受能力的困难家庭，及时实施特别救助，由旗困难群众基本生活保障工作协调机制进行“一事一议”研究确定救助金额，并形成会议纪要作为审批依据。</w:t>
      </w:r>
    </w:p>
    <w:p>
      <w:pPr>
        <w:widowControl/>
        <w:numPr>
          <w:ilvl w:val="0"/>
          <w:numId w:val="2"/>
        </w:numPr>
        <w:ind w:left="1366"/>
        <w:jc w:val="left"/>
        <w:rPr>
          <w:rFonts w:ascii="黑体" w:hAnsi="黑体" w:eastAsia="黑体"/>
          <w:sz w:val="32"/>
          <w:szCs w:val="32"/>
        </w:rPr>
      </w:pPr>
      <w:r>
        <w:rPr>
          <w:rFonts w:hint="eastAsia" w:ascii="黑体" w:hAnsi="黑体" w:eastAsia="黑体"/>
          <w:sz w:val="32"/>
          <w:szCs w:val="32"/>
        </w:rPr>
        <w:t>拓展完善救助方式</w:t>
      </w:r>
    </w:p>
    <w:p>
      <w:pPr>
        <w:ind w:firstLine="640"/>
        <w:rPr>
          <w:rFonts w:eastAsia="仿宋_GB2312" w:asciiTheme="minorHAnsi" w:hAnsiTheme="minorHAnsi" w:cstheme="minorBidi"/>
          <w:sz w:val="32"/>
          <w:szCs w:val="32"/>
        </w:rPr>
      </w:pPr>
      <w:r>
        <w:rPr>
          <w:rFonts w:hint="eastAsia" w:eastAsia="仿宋_GB2312" w:asciiTheme="minorHAnsi" w:hAnsiTheme="minorHAnsi" w:cstheme="minorBidi"/>
          <w:sz w:val="32"/>
          <w:szCs w:val="32"/>
        </w:rPr>
        <w:t>对符合救助条件的对象，可采取发放临时救助金、实物救助和转介服务三种方式给予救助。</w:t>
      </w:r>
    </w:p>
    <w:p>
      <w:pPr>
        <w:widowControl/>
        <w:jc w:val="left"/>
        <w:rPr>
          <w:rFonts w:eastAsia="仿宋_GB2312" w:asciiTheme="minorHAnsi" w:hAnsiTheme="minorHAnsi" w:cstheme="minorBidi"/>
          <w:sz w:val="32"/>
          <w:szCs w:val="32"/>
        </w:rPr>
      </w:pPr>
      <w:r>
        <w:rPr>
          <w:rFonts w:hint="eastAsia" w:ascii="仿宋" w:hAnsi="仿宋" w:eastAsia="仿宋"/>
          <w:sz w:val="32"/>
          <w:szCs w:val="32"/>
        </w:rPr>
        <w:t>　　</w:t>
      </w:r>
      <w:r>
        <w:rPr>
          <w:rFonts w:hint="eastAsia" w:ascii="楷体" w:hAnsi="楷体" w:eastAsia="楷体"/>
          <w:sz w:val="32"/>
          <w:szCs w:val="32"/>
        </w:rPr>
        <w:t>（一）发放临时救助金。</w:t>
      </w:r>
      <w:r>
        <w:rPr>
          <w:rFonts w:hint="eastAsia" w:eastAsia="仿宋_GB2312" w:asciiTheme="minorHAnsi" w:hAnsiTheme="minorHAnsi" w:cstheme="minorBidi"/>
          <w:sz w:val="32"/>
          <w:szCs w:val="32"/>
        </w:rPr>
        <w:t>发放救助金是临时救助的基本方式。临时救助金实行社会化发放。临时救助审核审批后，乡镇政府、旗民政局通过国库集中支付的方式在</w:t>
      </w:r>
      <w:r>
        <w:rPr>
          <w:rFonts w:hint="eastAsia" w:ascii="仿宋" w:hAnsi="仿宋" w:eastAsia="仿宋" w:cs="仿宋"/>
          <w:sz w:val="32"/>
          <w:szCs w:val="32"/>
        </w:rPr>
        <w:t>10</w:t>
      </w:r>
      <w:r>
        <w:rPr>
          <w:rFonts w:hint="eastAsia" w:eastAsia="仿宋_GB2312" w:asciiTheme="minorHAnsi" w:hAnsiTheme="minorHAnsi" w:cstheme="minorBidi"/>
          <w:sz w:val="32"/>
          <w:szCs w:val="32"/>
        </w:rPr>
        <w:t xml:space="preserve">个工作日内将临时救助金发放到救助对象个人账户。对于急难型救助，应进一步缩短资金发放时限，确保救助金足额、及时发放到位。对不具备社会化发放条件或紧急情况下经本部门主要领导批准后，可直接发放现金，完善现金发放手续，并在 </w:t>
      </w:r>
      <w:r>
        <w:rPr>
          <w:rFonts w:hint="eastAsia" w:ascii="仿宋" w:hAnsi="仿宋" w:eastAsia="仿宋" w:cs="仿宋"/>
          <w:sz w:val="32"/>
          <w:szCs w:val="32"/>
        </w:rPr>
        <w:t>10</w:t>
      </w:r>
      <w:r>
        <w:rPr>
          <w:rFonts w:hint="eastAsia" w:eastAsia="仿宋_GB2312" w:asciiTheme="minorHAnsi" w:hAnsiTheme="minorHAnsi" w:cstheme="minorBidi"/>
          <w:sz w:val="32"/>
          <w:szCs w:val="32"/>
        </w:rPr>
        <w:t>个工作日内将相关材料上传至低保信息系统临时救助模块存档备案。</w:t>
      </w:r>
    </w:p>
    <w:p>
      <w:pPr>
        <w:widowControl/>
        <w:ind w:firstLine="640"/>
        <w:jc w:val="left"/>
        <w:rPr>
          <w:rFonts w:ascii="仿宋" w:hAnsi="仿宋" w:eastAsia="仿宋"/>
          <w:sz w:val="32"/>
          <w:szCs w:val="32"/>
        </w:rPr>
      </w:pPr>
      <w:r>
        <w:rPr>
          <w:rFonts w:hint="eastAsia" w:ascii="楷体" w:hAnsi="楷体" w:eastAsia="楷体"/>
          <w:sz w:val="32"/>
          <w:szCs w:val="32"/>
        </w:rPr>
        <w:t>（二）实物救助。</w:t>
      </w:r>
      <w:r>
        <w:rPr>
          <w:rFonts w:hint="eastAsia" w:eastAsia="仿宋_GB2312" w:asciiTheme="minorHAnsi" w:hAnsiTheme="minorHAnsi" w:cstheme="minorBidi"/>
          <w:sz w:val="32"/>
          <w:szCs w:val="32"/>
        </w:rPr>
        <w:t>实物救助是临时救助的辅助方式，既可以单独使用，也可以与发放救助金并用。对于急难型救助对象，可根据救助对象基本生活需要，采取发放衣物、食品和饮用水，提供临时住所等方式予以救助，实物救助所需资金包含在救助对象核定的临时救助金中。对发放的衣物、食品和饮用水等生活必需品，旗民政局应严格按照政府采购制</w:t>
      </w:r>
      <w:bookmarkStart w:id="1" w:name="_GoBack"/>
      <w:bookmarkEnd w:id="1"/>
      <w:r>
        <w:rPr>
          <w:rFonts w:hint="eastAsia" w:eastAsia="仿宋_GB2312" w:asciiTheme="minorHAnsi" w:hAnsiTheme="minorHAnsi" w:cstheme="minorBidi"/>
          <w:sz w:val="32"/>
          <w:szCs w:val="32"/>
        </w:rPr>
        <w:t>度的有关规定进行采购，并确保其符合国家质量安全和卫生标准。要建立实物发放统计台账，安排专人负责登记、保管和发放。对走失、务工不着等离家在外的临时遇困人员，救助管理机构按照有关规定提供临时食宿等救助。</w:t>
      </w:r>
    </w:p>
    <w:p>
      <w:pPr>
        <w:widowControl/>
        <w:ind w:firstLine="640"/>
        <w:jc w:val="left"/>
        <w:rPr>
          <w:rFonts w:eastAsia="仿宋_GB2312" w:asciiTheme="minorHAnsi" w:hAnsiTheme="minorHAnsi" w:cstheme="minorBidi"/>
          <w:sz w:val="32"/>
          <w:szCs w:val="32"/>
        </w:rPr>
      </w:pPr>
      <w:r>
        <w:rPr>
          <w:rFonts w:hint="eastAsia" w:ascii="楷体" w:hAnsi="楷体" w:eastAsia="楷体"/>
          <w:sz w:val="32"/>
          <w:szCs w:val="32"/>
        </w:rPr>
        <w:t>（三）转介服务。</w:t>
      </w:r>
      <w:r>
        <w:rPr>
          <w:rFonts w:hint="eastAsia" w:eastAsia="仿宋_GB2312" w:asciiTheme="minorHAnsi" w:hAnsiTheme="minorHAnsi" w:cstheme="minorBidi"/>
          <w:sz w:val="32"/>
          <w:szCs w:val="32"/>
        </w:rPr>
        <w:t>转介服务是临时救助的补充方式。对给予临时救助资金、实物救助后，仍不能解决临时救助对象困难的，可视情况提供转介服务。</w:t>
      </w:r>
    </w:p>
    <w:p>
      <w:pPr>
        <w:widowControl/>
        <w:ind w:firstLine="640"/>
        <w:jc w:val="left"/>
        <w:rPr>
          <w:rFonts w:eastAsia="仿宋_GB2312" w:asciiTheme="minorHAnsi" w:hAnsiTheme="minorHAnsi" w:cstheme="minorBidi"/>
          <w:sz w:val="32"/>
          <w:szCs w:val="32"/>
        </w:rPr>
      </w:pPr>
      <w:r>
        <w:rPr>
          <w:rFonts w:hint="eastAsia" w:eastAsia="仿宋_GB2312" w:asciiTheme="minorHAnsi" w:hAnsiTheme="minorHAnsi" w:cstheme="minorBidi"/>
          <w:sz w:val="32"/>
          <w:szCs w:val="32"/>
        </w:rPr>
        <w:t>对符合医疗、教育、住房、就业等专项救助条件的，要及时转介到相关职能部门并协助其申请。</w:t>
      </w:r>
    </w:p>
    <w:p>
      <w:pPr>
        <w:widowControl/>
        <w:ind w:firstLine="640"/>
        <w:jc w:val="left"/>
        <w:rPr>
          <w:rFonts w:eastAsia="仿宋_GB2312" w:asciiTheme="minorHAnsi" w:hAnsiTheme="minorHAnsi" w:cstheme="minorBidi"/>
          <w:sz w:val="32"/>
          <w:szCs w:val="32"/>
        </w:rPr>
      </w:pPr>
      <w:r>
        <w:rPr>
          <w:rFonts w:hint="eastAsia" w:eastAsia="仿宋_GB2312" w:asciiTheme="minorHAnsi" w:hAnsiTheme="minorHAnsi" w:cstheme="minorBidi"/>
          <w:sz w:val="32"/>
          <w:szCs w:val="32"/>
        </w:rPr>
        <w:t>对需要公益慈善组织、社会工作服务机构等通过慈善项目、发动社会募捐、提供专业服务、志愿服务等形式给予帮扶的，要及时转介到有救助意愿的相关社会力量和社会工作服务机构。</w:t>
      </w:r>
    </w:p>
    <w:p>
      <w:pPr>
        <w:widowControl/>
        <w:ind w:left="646"/>
        <w:jc w:val="left"/>
        <w:rPr>
          <w:rFonts w:ascii="黑体" w:hAnsi="黑体" w:eastAsia="黑体"/>
          <w:sz w:val="32"/>
          <w:szCs w:val="32"/>
        </w:rPr>
      </w:pPr>
      <w:r>
        <w:rPr>
          <w:rFonts w:hint="eastAsia" w:ascii="黑体" w:hAnsi="黑体" w:eastAsia="黑体"/>
          <w:sz w:val="32"/>
          <w:szCs w:val="32"/>
        </w:rPr>
        <w:t>五、加强与慈善救助衔接</w:t>
      </w:r>
    </w:p>
    <w:p>
      <w:pPr>
        <w:widowControl/>
        <w:ind w:firstLine="641"/>
        <w:jc w:val="left"/>
        <w:rPr>
          <w:rFonts w:eastAsia="仿宋_GB2312" w:asciiTheme="minorHAnsi" w:hAnsiTheme="minorHAnsi" w:cstheme="minorBidi"/>
          <w:sz w:val="32"/>
          <w:szCs w:val="32"/>
        </w:rPr>
      </w:pPr>
      <w:r>
        <w:rPr>
          <w:rFonts w:hint="eastAsia" w:eastAsia="仿宋_GB2312" w:asciiTheme="minorHAnsi" w:hAnsiTheme="minorHAnsi" w:cstheme="minorBidi"/>
          <w:sz w:val="32"/>
          <w:szCs w:val="32"/>
        </w:rPr>
        <w:t>加强临时救助与其他社会救助、慈善帮扶等衔接，通过慈善救助帮助困难群众解决教育、医疗等个人自负费用。动员社会组织参与临时救助工作，及时为困难群众提供转介服务，形成救助合力。鼓励和引导本地区具有影响力的慈善组织、驻地大中型企业等设立专项公益基金，科学规划、设立救助项目，承接政府救助之后“转介”的个案，形成与政府救助的有效衔接、接续救助。拓展多元临时救助方式，探索以困难群众需求为导向，针对不同救助对象开展生活帮扶、心理疏导、精神慰藉、资源链接、能力提升、社会融入等多样化、个性化服务。深入开展“救急难”工作，畅通急难社会救助申请和急难情况及时报告、主动发现渠道，健全快速响应、个案会商“救急难”工作机制，加强部门协同、推进资源统筹，提升综合救助能力，及时化解人民群众遭遇的各类重大急难问题，最大限度防止冲击社会道德和心理底线事件发生。</w:t>
      </w:r>
    </w:p>
    <w:p>
      <w:pPr>
        <w:widowControl/>
        <w:ind w:left="646"/>
        <w:jc w:val="left"/>
        <w:rPr>
          <w:rFonts w:ascii="黑体" w:hAnsi="黑体" w:eastAsia="黑体"/>
          <w:sz w:val="32"/>
          <w:szCs w:val="32"/>
        </w:rPr>
      </w:pPr>
      <w:r>
        <w:rPr>
          <w:rFonts w:hint="eastAsia" w:ascii="黑体" w:hAnsi="黑体" w:eastAsia="黑体"/>
          <w:sz w:val="32"/>
          <w:szCs w:val="32"/>
        </w:rPr>
        <w:t>六、规范临时救助信息系统使用工作</w:t>
      </w:r>
    </w:p>
    <w:p>
      <w:pPr>
        <w:widowControl/>
        <w:ind w:firstLine="641"/>
        <w:jc w:val="left"/>
        <w:rPr>
          <w:rFonts w:eastAsia="仿宋_GB2312" w:asciiTheme="minorHAnsi" w:hAnsiTheme="minorHAnsi" w:cstheme="minorBidi"/>
          <w:sz w:val="32"/>
          <w:szCs w:val="32"/>
        </w:rPr>
      </w:pPr>
      <w:r>
        <w:rPr>
          <w:rFonts w:hint="eastAsia" w:eastAsia="仿宋_GB2312" w:asciiTheme="minorHAnsi" w:hAnsiTheme="minorHAnsi" w:cstheme="minorBidi"/>
          <w:sz w:val="32"/>
          <w:szCs w:val="32"/>
        </w:rPr>
        <w:t>乡镇要进一步规范低保系统中临时救助模块使用工作，按照系统统计指标要求，准确、完整、及时录入临时救助数据信息，确保与财务统计台账及纸质统计报表数据一致、真实准确。市民政局将临时救助系统数据上传情况纳入困难群众基本生活救助工作绩效评价指标体系，并适时对临时救助信息系统数据录入不及时的地区进行通报。</w:t>
      </w:r>
    </w:p>
    <w:p>
      <w:pPr>
        <w:widowControl/>
        <w:ind w:left="646"/>
        <w:jc w:val="left"/>
        <w:rPr>
          <w:rFonts w:ascii="黑体" w:hAnsi="黑体" w:eastAsia="黑体"/>
          <w:sz w:val="32"/>
          <w:szCs w:val="32"/>
        </w:rPr>
      </w:pPr>
      <w:r>
        <w:rPr>
          <w:rFonts w:hint="eastAsia" w:ascii="黑体" w:hAnsi="黑体" w:eastAsia="黑体"/>
          <w:sz w:val="32"/>
          <w:szCs w:val="32"/>
        </w:rPr>
        <w:t>七、加强资金保障</w:t>
      </w:r>
    </w:p>
    <w:p>
      <w:pPr>
        <w:widowControl/>
        <w:ind w:firstLine="641"/>
        <w:jc w:val="left"/>
        <w:rPr>
          <w:rFonts w:eastAsia="仿宋_GB2312" w:asciiTheme="minorHAnsi" w:hAnsiTheme="minorHAnsi" w:cstheme="minorBidi"/>
          <w:sz w:val="32"/>
          <w:szCs w:val="32"/>
        </w:rPr>
      </w:pPr>
      <w:r>
        <w:rPr>
          <w:rFonts w:hint="eastAsia" w:eastAsia="仿宋_GB2312" w:asciiTheme="minorHAnsi" w:hAnsiTheme="minorHAnsi" w:cstheme="minorBidi"/>
          <w:sz w:val="32"/>
          <w:szCs w:val="32"/>
        </w:rPr>
        <w:t>旗级要多方筹集临时救助资金，并根据经济社会发展和临时救助需求，合理安排和统筹使用困难群众救助补助资金，对临时救助资金的投入原则上只增不减。市民政局将在分配困难群众救助补助资金时，向临时救助任务重、财政困难、工作成效突出的地区适当倾斜，同时，对临时救助资金结余较大的地区进行扣减。</w:t>
      </w:r>
    </w:p>
    <w:p>
      <w:pPr>
        <w:pStyle w:val="2"/>
      </w:pPr>
      <w:r>
        <w:rPr>
          <w:rFonts w:hint="eastAsia" w:eastAsia="仿宋_GB2312" w:asciiTheme="minorHAnsi" w:hAnsiTheme="minorHAnsi" w:cstheme="minorBidi"/>
          <w:sz w:val="32"/>
          <w:szCs w:val="32"/>
        </w:rPr>
        <w:t xml:space="preserve">    旗级、乡镇要不断提高临时救助资金使用效能，对符合条件的救助对象，应救尽救，确保临时救助人次均水平不低于上年度临时救助水平或自治区平均水平。</w:t>
      </w:r>
    </w:p>
    <w:p>
      <w:pPr>
        <w:widowControl/>
        <w:ind w:firstLine="641"/>
        <w:jc w:val="left"/>
        <w:rPr>
          <w:rFonts w:eastAsia="仿宋_GB2312" w:asciiTheme="minorHAnsi" w:hAnsiTheme="minorHAnsi" w:cstheme="minorBidi"/>
          <w:sz w:val="32"/>
          <w:szCs w:val="32"/>
        </w:rPr>
      </w:pPr>
      <w:r>
        <w:rPr>
          <w:rFonts w:hint="eastAsia" w:eastAsia="仿宋_GB2312" w:asciiTheme="minorHAnsi" w:hAnsiTheme="minorHAnsi" w:cstheme="minorBidi"/>
          <w:sz w:val="32"/>
          <w:szCs w:val="32"/>
        </w:rPr>
        <w:t>旗民政局每年年初要将临时救助备用金预拨至乡镇政府，临时救助备用金不足时，乡镇政府要及时向旗民政、财政部门提出续拨申请。乡镇要用好用足临时救助备用金，有效增强乡镇政府实施临时救助的可及性。旗民政局应当结合本地区实际，对临时救助备用金的日常使用与管理进行监管，制定相应管理制度和规范使用流程，定期开展抽查检查工作。</w:t>
      </w:r>
    </w:p>
    <w:p>
      <w:pPr>
        <w:widowControl/>
        <w:jc w:val="left"/>
        <w:rPr>
          <w:rFonts w:eastAsia="仿宋_GB2312" w:asciiTheme="minorHAnsi" w:hAnsiTheme="minorHAnsi" w:cstheme="minorBidi"/>
          <w:sz w:val="32"/>
          <w:szCs w:val="32"/>
        </w:rPr>
      </w:pPr>
    </w:p>
    <w:p>
      <w:pPr>
        <w:widowControl/>
        <w:ind w:firstLine="640"/>
        <w:jc w:val="left"/>
        <w:rPr>
          <w:rFonts w:eastAsia="仿宋_GB2312" w:asciiTheme="minorHAnsi" w:hAnsiTheme="minorHAnsi" w:cstheme="minorBidi"/>
          <w:sz w:val="32"/>
          <w:szCs w:val="32"/>
        </w:rPr>
      </w:pPr>
    </w:p>
    <w:p>
      <w:pPr>
        <w:widowControl/>
        <w:ind w:firstLine="4480" w:firstLineChars="1400"/>
        <w:jc w:val="left"/>
        <w:rPr>
          <w:rFonts w:eastAsia="仿宋_GB2312" w:asciiTheme="minorHAnsi" w:hAnsiTheme="minorHAnsi" w:cstheme="minorBidi"/>
          <w:sz w:val="32"/>
          <w:szCs w:val="32"/>
        </w:rPr>
      </w:pPr>
      <w:r>
        <w:rPr>
          <w:rFonts w:hint="eastAsia" w:eastAsia="仿宋_GB2312" w:asciiTheme="minorHAnsi" w:hAnsiTheme="minorHAnsi" w:cstheme="minorBidi"/>
          <w:sz w:val="32"/>
          <w:szCs w:val="32"/>
        </w:rPr>
        <w:t>鄂伦春自治旗民政局</w:t>
      </w:r>
    </w:p>
    <w:p>
      <w:pPr>
        <w:ind w:firstLine="4800" w:firstLineChars="1500"/>
        <w:jc w:val="left"/>
        <w:rPr>
          <w:rFonts w:eastAsia="仿宋_GB2312" w:asciiTheme="minorHAnsi" w:hAnsiTheme="minorHAnsi" w:cstheme="minorBidi"/>
          <w:sz w:val="32"/>
          <w:szCs w:val="32"/>
        </w:rPr>
      </w:pPr>
      <w:r>
        <w:rPr>
          <w:rFonts w:hint="eastAsia" w:ascii="仿宋" w:hAnsi="仿宋" w:eastAsia="仿宋" w:cs="仿宋"/>
          <w:sz w:val="32"/>
          <w:szCs w:val="32"/>
        </w:rPr>
        <w:t>2021</w:t>
      </w:r>
      <w:r>
        <w:rPr>
          <w:rFonts w:hint="eastAsia" w:eastAsia="仿宋_GB2312" w:asciiTheme="minorHAnsi" w:hAnsiTheme="minorHAnsi" w:cstheme="minorBidi"/>
          <w:sz w:val="32"/>
          <w:szCs w:val="32"/>
        </w:rPr>
        <w:t>年</w:t>
      </w:r>
      <w:r>
        <w:rPr>
          <w:rFonts w:hint="eastAsia" w:ascii="仿宋" w:hAnsi="仿宋" w:eastAsia="仿宋" w:cs="仿宋"/>
          <w:sz w:val="32"/>
          <w:szCs w:val="32"/>
        </w:rPr>
        <w:t>11月1日</w:t>
      </w:r>
    </w:p>
    <w:p/>
    <w:p>
      <w:pPr>
        <w:pStyle w:val="2"/>
      </w:pPr>
    </w:p>
    <w:p>
      <w:pPr>
        <w:pStyle w:val="2"/>
      </w:pPr>
    </w:p>
    <w:p>
      <w:pPr>
        <w:pStyle w:val="2"/>
      </w:pPr>
    </w:p>
    <w:p>
      <w:pPr>
        <w:pStyle w:val="2"/>
        <w:rPr>
          <w:rFonts w:eastAsia="仿宋_GB2312" w:asciiTheme="minorHAnsi" w:hAnsiTheme="minorHAnsi" w:cstheme="minorBidi"/>
          <w:sz w:val="32"/>
          <w:szCs w:val="32"/>
        </w:rPr>
      </w:pPr>
    </w:p>
    <w:p>
      <w:pPr>
        <w:pStyle w:val="2"/>
        <w:rPr>
          <w:rFonts w:eastAsia="仿宋_GB2312" w:asciiTheme="minorHAnsi" w:hAnsiTheme="minorHAnsi" w:cstheme="minorBidi"/>
          <w:sz w:val="32"/>
          <w:szCs w:val="32"/>
        </w:rPr>
      </w:pPr>
      <w:r>
        <w:rPr>
          <w:rFonts w:hint="eastAsia" w:eastAsia="仿宋_GB2312" w:asciiTheme="minorHAnsi" w:hAnsiTheme="minorHAnsi" w:cstheme="minorBidi"/>
          <w:sz w:val="32"/>
          <w:szCs w:val="32"/>
        </w:rPr>
        <w:t>（主动公开）</w:t>
      </w:r>
    </w:p>
    <w:p>
      <w:pPr>
        <w:pBdr>
          <w:top w:val="single" w:color="auto" w:sz="6" w:space="1"/>
          <w:bottom w:val="single" w:color="auto" w:sz="6" w:space="1"/>
        </w:pBdr>
      </w:pPr>
      <w:r>
        <w:rPr>
          <w:rFonts w:hint="eastAsia" w:ascii="仿宋_GB2312" w:hAnsi="仿宋" w:eastAsia="仿宋_GB2312"/>
          <w:sz w:val="32"/>
          <w:szCs w:val="32"/>
        </w:rPr>
        <w:t xml:space="preserve"> 鄂伦春自治旗民政局办公室      2021年11月1日印发 </w:t>
      </w:r>
      <w:r>
        <w:rPr>
          <w:rFonts w:hint="eastAsia" w:ascii="仿宋_GB2312" w:hAnsi="仿宋"/>
          <w:sz w:val="28"/>
          <w:szCs w:val="28"/>
        </w:rPr>
        <w:t xml:space="preserve"> </w:t>
      </w:r>
    </w:p>
    <w:sectPr>
      <w:footerReference r:id="rId3"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黑体"/>
    <w:panose1 w:val="02010601030101010101"/>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4"/>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- 1 -</w:t>
                          </w:r>
                          <w:r>
                            <w:rPr>
                              <w:rFonts w:hint="eastAsia" w:ascii="宋体" w:hAnsi="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pStyle w:val="4"/>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- 1 -</w:t>
                    </w:r>
                    <w:r>
                      <w:rPr>
                        <w:rFonts w:hint="eastAsia" w:ascii="宋体" w:hAnsi="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F5567C"/>
    <w:multiLevelType w:val="multilevel"/>
    <w:tmpl w:val="1AF5567C"/>
    <w:lvl w:ilvl="0" w:tentative="0">
      <w:start w:val="4"/>
      <w:numFmt w:val="japaneseCounting"/>
      <w:lvlText w:val="%1、"/>
      <w:lvlJc w:val="left"/>
      <w:pPr>
        <w:ind w:left="1365" w:hanging="720"/>
      </w:pPr>
      <w:rPr>
        <w:rFonts w:hint="default"/>
      </w:rPr>
    </w:lvl>
    <w:lvl w:ilvl="1" w:tentative="0">
      <w:start w:val="1"/>
      <w:numFmt w:val="lowerLetter"/>
      <w:lvlText w:val="%2)"/>
      <w:lvlJc w:val="left"/>
      <w:pPr>
        <w:ind w:left="1485" w:hanging="420"/>
      </w:pPr>
    </w:lvl>
    <w:lvl w:ilvl="2" w:tentative="0">
      <w:start w:val="1"/>
      <w:numFmt w:val="lowerRoman"/>
      <w:lvlText w:val="%3."/>
      <w:lvlJc w:val="right"/>
      <w:pPr>
        <w:ind w:left="1905" w:hanging="420"/>
      </w:pPr>
    </w:lvl>
    <w:lvl w:ilvl="3" w:tentative="0">
      <w:start w:val="1"/>
      <w:numFmt w:val="decimal"/>
      <w:lvlText w:val="%4."/>
      <w:lvlJc w:val="left"/>
      <w:pPr>
        <w:ind w:left="2325" w:hanging="420"/>
      </w:pPr>
    </w:lvl>
    <w:lvl w:ilvl="4" w:tentative="0">
      <w:start w:val="1"/>
      <w:numFmt w:val="lowerLetter"/>
      <w:lvlText w:val="%5)"/>
      <w:lvlJc w:val="left"/>
      <w:pPr>
        <w:ind w:left="2745" w:hanging="420"/>
      </w:pPr>
    </w:lvl>
    <w:lvl w:ilvl="5" w:tentative="0">
      <w:start w:val="1"/>
      <w:numFmt w:val="lowerRoman"/>
      <w:lvlText w:val="%6."/>
      <w:lvlJc w:val="right"/>
      <w:pPr>
        <w:ind w:left="3165" w:hanging="420"/>
      </w:pPr>
    </w:lvl>
    <w:lvl w:ilvl="6" w:tentative="0">
      <w:start w:val="1"/>
      <w:numFmt w:val="decimal"/>
      <w:lvlText w:val="%7."/>
      <w:lvlJc w:val="left"/>
      <w:pPr>
        <w:ind w:left="3585" w:hanging="420"/>
      </w:pPr>
    </w:lvl>
    <w:lvl w:ilvl="7" w:tentative="0">
      <w:start w:val="1"/>
      <w:numFmt w:val="lowerLetter"/>
      <w:lvlText w:val="%8)"/>
      <w:lvlJc w:val="left"/>
      <w:pPr>
        <w:ind w:left="4005" w:hanging="420"/>
      </w:pPr>
    </w:lvl>
    <w:lvl w:ilvl="8" w:tentative="0">
      <w:start w:val="1"/>
      <w:numFmt w:val="lowerRoman"/>
      <w:lvlText w:val="%9."/>
      <w:lvlJc w:val="right"/>
      <w:pPr>
        <w:ind w:left="4425" w:hanging="420"/>
      </w:pPr>
    </w:lvl>
  </w:abstractNum>
  <w:abstractNum w:abstractNumId="1">
    <w:nsid w:val="52FD7998"/>
    <w:multiLevelType w:val="multilevel"/>
    <w:tmpl w:val="52FD7998"/>
    <w:lvl w:ilvl="0" w:tentative="0">
      <w:start w:val="1"/>
      <w:numFmt w:val="japaneseCounting"/>
      <w:lvlText w:val="%1、"/>
      <w:lvlJc w:val="left"/>
      <w:pPr>
        <w:ind w:left="1365" w:hanging="720"/>
      </w:pPr>
      <w:rPr>
        <w:rFonts w:hint="default"/>
      </w:rPr>
    </w:lvl>
    <w:lvl w:ilvl="1" w:tentative="0">
      <w:start w:val="1"/>
      <w:numFmt w:val="lowerLetter"/>
      <w:lvlText w:val="%2)"/>
      <w:lvlJc w:val="left"/>
      <w:pPr>
        <w:ind w:left="1485" w:hanging="420"/>
      </w:pPr>
    </w:lvl>
    <w:lvl w:ilvl="2" w:tentative="0">
      <w:start w:val="1"/>
      <w:numFmt w:val="lowerRoman"/>
      <w:lvlText w:val="%3."/>
      <w:lvlJc w:val="right"/>
      <w:pPr>
        <w:ind w:left="1905" w:hanging="420"/>
      </w:pPr>
    </w:lvl>
    <w:lvl w:ilvl="3" w:tentative="0">
      <w:start w:val="1"/>
      <w:numFmt w:val="decimal"/>
      <w:lvlText w:val="%4."/>
      <w:lvlJc w:val="left"/>
      <w:pPr>
        <w:ind w:left="2325" w:hanging="420"/>
      </w:pPr>
    </w:lvl>
    <w:lvl w:ilvl="4" w:tentative="0">
      <w:start w:val="1"/>
      <w:numFmt w:val="lowerLetter"/>
      <w:lvlText w:val="%5)"/>
      <w:lvlJc w:val="left"/>
      <w:pPr>
        <w:ind w:left="2745" w:hanging="420"/>
      </w:pPr>
    </w:lvl>
    <w:lvl w:ilvl="5" w:tentative="0">
      <w:start w:val="1"/>
      <w:numFmt w:val="lowerRoman"/>
      <w:lvlText w:val="%6."/>
      <w:lvlJc w:val="right"/>
      <w:pPr>
        <w:ind w:left="3165" w:hanging="420"/>
      </w:pPr>
    </w:lvl>
    <w:lvl w:ilvl="6" w:tentative="0">
      <w:start w:val="1"/>
      <w:numFmt w:val="decimal"/>
      <w:lvlText w:val="%7."/>
      <w:lvlJc w:val="left"/>
      <w:pPr>
        <w:ind w:left="3585" w:hanging="420"/>
      </w:pPr>
    </w:lvl>
    <w:lvl w:ilvl="7" w:tentative="0">
      <w:start w:val="1"/>
      <w:numFmt w:val="lowerLetter"/>
      <w:lvlText w:val="%8)"/>
      <w:lvlJc w:val="left"/>
      <w:pPr>
        <w:ind w:left="4005" w:hanging="420"/>
      </w:pPr>
    </w:lvl>
    <w:lvl w:ilvl="8" w:tentative="0">
      <w:start w:val="1"/>
      <w:numFmt w:val="lowerRoman"/>
      <w:lvlText w:val="%9."/>
      <w:lvlJc w:val="right"/>
      <w:pPr>
        <w:ind w:left="4425"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A7ABA464"/>
    <w:rsid w:val="00024239"/>
    <w:rsid w:val="0010524A"/>
    <w:rsid w:val="001425AA"/>
    <w:rsid w:val="00153851"/>
    <w:rsid w:val="002003E3"/>
    <w:rsid w:val="0021718D"/>
    <w:rsid w:val="00274248"/>
    <w:rsid w:val="00323B51"/>
    <w:rsid w:val="00325635"/>
    <w:rsid w:val="003300A2"/>
    <w:rsid w:val="0042437A"/>
    <w:rsid w:val="00500FC7"/>
    <w:rsid w:val="00574DB6"/>
    <w:rsid w:val="005D118D"/>
    <w:rsid w:val="00610042"/>
    <w:rsid w:val="00686E70"/>
    <w:rsid w:val="00731FFF"/>
    <w:rsid w:val="008D0868"/>
    <w:rsid w:val="008E7C97"/>
    <w:rsid w:val="00943EC5"/>
    <w:rsid w:val="009B1133"/>
    <w:rsid w:val="009B48AE"/>
    <w:rsid w:val="00A94211"/>
    <w:rsid w:val="00AF1CCF"/>
    <w:rsid w:val="00B7106F"/>
    <w:rsid w:val="00BE408F"/>
    <w:rsid w:val="00BE49C5"/>
    <w:rsid w:val="00BF7607"/>
    <w:rsid w:val="00C45156"/>
    <w:rsid w:val="00CA40D5"/>
    <w:rsid w:val="00CC244A"/>
    <w:rsid w:val="00D26A68"/>
    <w:rsid w:val="00D27EBA"/>
    <w:rsid w:val="00D404C1"/>
    <w:rsid w:val="00D958D3"/>
    <w:rsid w:val="00DD06D3"/>
    <w:rsid w:val="00F07145"/>
    <w:rsid w:val="00FD64D8"/>
    <w:rsid w:val="04D12C14"/>
    <w:rsid w:val="06B46A89"/>
    <w:rsid w:val="073E4615"/>
    <w:rsid w:val="0A1850A9"/>
    <w:rsid w:val="0A612C2D"/>
    <w:rsid w:val="0DD5023D"/>
    <w:rsid w:val="12B50C12"/>
    <w:rsid w:val="270D603A"/>
    <w:rsid w:val="29B32009"/>
    <w:rsid w:val="2B7E3443"/>
    <w:rsid w:val="2DB52D5E"/>
    <w:rsid w:val="2DB97021"/>
    <w:rsid w:val="2EFA57CC"/>
    <w:rsid w:val="363F4246"/>
    <w:rsid w:val="390867AA"/>
    <w:rsid w:val="39341424"/>
    <w:rsid w:val="3BE83464"/>
    <w:rsid w:val="3D5D5962"/>
    <w:rsid w:val="438E1BD9"/>
    <w:rsid w:val="46D63714"/>
    <w:rsid w:val="4A7413EE"/>
    <w:rsid w:val="509D5452"/>
    <w:rsid w:val="52BF35FE"/>
    <w:rsid w:val="54DF497F"/>
    <w:rsid w:val="59DD60CF"/>
    <w:rsid w:val="5E0118A9"/>
    <w:rsid w:val="609F75DE"/>
    <w:rsid w:val="64064DB3"/>
    <w:rsid w:val="663A66BC"/>
    <w:rsid w:val="68801C6F"/>
    <w:rsid w:val="6C135993"/>
    <w:rsid w:val="709C0A41"/>
    <w:rsid w:val="716A6FBA"/>
    <w:rsid w:val="72F85AC5"/>
    <w:rsid w:val="77C1326B"/>
    <w:rsid w:val="78F213BA"/>
    <w:rsid w:val="7900796F"/>
    <w:rsid w:val="7E933E2C"/>
    <w:rsid w:val="A7ABA4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b/>
      <w:kern w:val="44"/>
      <w:sz w:val="44"/>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itle"/>
    <w:basedOn w:val="1"/>
    <w:qFormat/>
    <w:uiPriority w:val="0"/>
    <w:rPr>
      <w:rFonts w:hAnsi="Arial"/>
    </w:rPr>
  </w:style>
  <w:style w:type="paragraph" w:styleId="4">
    <w:name w:val="footer"/>
    <w:basedOn w:val="1"/>
    <w:link w:val="9"/>
    <w:qFormat/>
    <w:uiPriority w:val="0"/>
    <w:pPr>
      <w:tabs>
        <w:tab w:val="center" w:pos="4153"/>
        <w:tab w:val="right" w:pos="8306"/>
      </w:tabs>
      <w:snapToGrid w:val="0"/>
      <w:jc w:val="left"/>
    </w:pPr>
    <w:rPr>
      <w:sz w:val="18"/>
      <w:szCs w:val="18"/>
    </w:rPr>
  </w:style>
  <w:style w:type="paragraph" w:styleId="5">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0"/>
    <w:rPr>
      <w:kern w:val="2"/>
      <w:sz w:val="18"/>
      <w:szCs w:val="18"/>
    </w:rPr>
  </w:style>
  <w:style w:type="character" w:customStyle="1" w:styleId="9">
    <w:name w:val="页脚 Char"/>
    <w:basedOn w:val="7"/>
    <w:link w:val="4"/>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3514</Words>
  <Characters>3540</Characters>
  <Lines>25</Lines>
  <Paragraphs>7</Paragraphs>
  <TotalTime>1328</TotalTime>
  <ScaleCrop>false</ScaleCrop>
  <LinksUpToDate>false</LinksUpToDate>
  <CharactersWithSpaces>3559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2021-04-25T10:16:00Z</dcterms:created>
  <dc:creator>inspur</dc:creator>
  <cp:lastModifiedBy>Administrator</cp:lastModifiedBy>
  <cp:lastPrinted>2021-11-01T02:33:00Z</cp:lastPrinted>
  <dcterms:modified xsi:type="dcterms:W3CDTF">2023-06-20T07:05:56Z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F41297ACE8114EBFA022369FCF65C68D_13</vt:lpwstr>
  </property>
</Properties>
</file>