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D3358">
      <w:pPr>
        <w:widowControl/>
        <w:spacing w:line="450" w:lineRule="atLeast"/>
        <w:jc w:val="center"/>
      </w:pPr>
      <w:r>
        <w:rPr>
          <w:rFonts w:hint="eastAsia" w:ascii="方正小标宋简体" w:hAnsi="方正小标宋简体" w:eastAsia="方正小标宋简体" w:cs="方正小标宋简体"/>
          <w:color w:val="262626"/>
          <w:kern w:val="0"/>
          <w:sz w:val="44"/>
          <w:szCs w:val="44"/>
        </w:rPr>
        <w:t>鄂伦春自治旗</w:t>
      </w:r>
      <w:r>
        <w:rPr>
          <w:rFonts w:ascii="方正小标宋简体" w:hAnsi="方正小标宋简体" w:eastAsia="方正小标宋简体" w:cs="方正小标宋简体"/>
          <w:color w:val="262626"/>
          <w:kern w:val="0"/>
          <w:sz w:val="44"/>
          <w:szCs w:val="44"/>
        </w:rPr>
        <w:t>市场监督管理局</w:t>
      </w:r>
    </w:p>
    <w:p w14:paraId="4C692E1D">
      <w:pPr>
        <w:widowControl/>
        <w:spacing w:line="560" w:lineRule="atLeast"/>
        <w:jc w:val="center"/>
      </w:pPr>
      <w:r>
        <w:rPr>
          <w:rFonts w:ascii="方正小标宋简体" w:hAnsi="方正小标宋简体" w:eastAsia="方正小标宋简体" w:cs="方正小标宋简体"/>
          <w:color w:val="262626"/>
          <w:kern w:val="0"/>
          <w:sz w:val="44"/>
          <w:szCs w:val="44"/>
        </w:rPr>
        <w:t>关于不合格食品核查处置情况的通告</w:t>
      </w:r>
    </w:p>
    <w:p w14:paraId="20C41AA0">
      <w:pPr>
        <w:widowControl/>
        <w:spacing w:line="560" w:lineRule="atLeast"/>
        <w:jc w:val="left"/>
      </w:pPr>
      <w:r>
        <w:rPr>
          <w:rFonts w:ascii="仿宋" w:hAnsi="仿宋" w:eastAsia="仿宋" w:cs="仿宋"/>
          <w:color w:val="262626"/>
          <w:kern w:val="0"/>
          <w:sz w:val="32"/>
          <w:szCs w:val="32"/>
        </w:rPr>
        <w:t> </w:t>
      </w:r>
      <w:r>
        <w:rPr>
          <w:rFonts w:hint="eastAsia" w:ascii="仿宋" w:hAnsi="仿宋" w:eastAsia="仿宋" w:cs="仿宋"/>
          <w:color w:val="262626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鄂伦春自治旗市场监督管理局对不合格食品进行核查处置，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现将不合格食品的核查处置情况通告如下：</w:t>
      </w:r>
    </w:p>
    <w:p w14:paraId="66088A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60" w:lineRule="exact"/>
        <w:jc w:val="left"/>
        <w:textAlignment w:val="auto"/>
        <w:rPr>
          <w:rFonts w:hint="default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鄂伦春自治旗大杨树镇忠海五谷粥道营养餐厅</w:t>
      </w:r>
    </w:p>
    <w:p w14:paraId="2CD5DE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60" w:lineRule="exact"/>
        <w:ind w:firstLine="640" w:firstLineChars="200"/>
        <w:jc w:val="left"/>
        <w:textAlignment w:val="auto"/>
      </w:pPr>
      <w:r>
        <w:rPr>
          <w:rFonts w:ascii="楷体" w:hAnsi="楷体" w:eastAsia="楷体" w:cs="楷体"/>
          <w:color w:val="262626"/>
          <w:kern w:val="0"/>
          <w:sz w:val="32"/>
          <w:szCs w:val="32"/>
        </w:rPr>
        <w:t>（一）抽检基本情况</w:t>
      </w:r>
    </w:p>
    <w:p w14:paraId="613D5D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60" w:lineRule="exact"/>
        <w:ind w:firstLine="632"/>
        <w:jc w:val="left"/>
        <w:textAlignment w:val="auto"/>
      </w:pP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样品名称：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“油条（自制）”；加工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日期：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09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02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日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抽样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数量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: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1.02kg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；检验不合格项目：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铝的残留量；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检验机构：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吉林省正恒检测有限公司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。</w:t>
      </w:r>
    </w:p>
    <w:p w14:paraId="3A366A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60" w:lineRule="exact"/>
        <w:ind w:firstLine="632"/>
        <w:jc w:val="left"/>
        <w:textAlignment w:val="auto"/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（二）不合格食品处置情况</w:t>
      </w:r>
    </w:p>
    <w:p w14:paraId="2B7A3D2B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20" w:lineRule="exact"/>
        <w:ind w:left="0" w:leftChars="0" w:right="0" w:firstLine="640"/>
        <w:jc w:val="both"/>
        <w:textAlignment w:val="auto"/>
        <w:outlineLvl w:val="9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鄂伦春自治旗大杨树镇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忠海五谷粥道营养餐厅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加工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销售的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油条（自制），</w:t>
      </w:r>
      <w:r>
        <w:rPr>
          <w:rFonts w:hint="eastAsia" w:ascii="仿宋_GB2312" w:hAnsi="仿宋" w:eastAsia="仿宋_GB2312" w:cs="仿宋"/>
          <w:sz w:val="32"/>
          <w:szCs w:val="32"/>
          <w:u w:val="none"/>
          <w:lang w:val="en-US" w:eastAsia="zh-CN"/>
        </w:rPr>
        <w:t>铝的残留量</w:t>
      </w:r>
      <w:r>
        <w:rPr>
          <w:rFonts w:hint="eastAsia" w:ascii="仿宋_GB2312" w:hAnsi="仿宋" w:eastAsia="仿宋_GB2312" w:cs="仿宋"/>
          <w:color w:val="auto"/>
          <w:sz w:val="32"/>
          <w:szCs w:val="32"/>
          <w:u w:val="none"/>
          <w:lang w:val="en-US" w:eastAsia="zh-CN"/>
        </w:rPr>
        <w:t>（干样品，以AI计）</w:t>
      </w:r>
      <w:r>
        <w:rPr>
          <w:rFonts w:hint="eastAsia" w:ascii="仿宋_GB2312" w:hAnsi="仿宋" w:eastAsia="仿宋_GB2312" w:cs="仿宋"/>
          <w:sz w:val="32"/>
          <w:szCs w:val="32"/>
          <w:u w:val="none"/>
          <w:lang w:eastAsia="zh-CN"/>
        </w:rPr>
        <w:t>项目不符合</w:t>
      </w:r>
      <w:r>
        <w:rPr>
          <w:rFonts w:hint="eastAsia" w:ascii="仿宋_GB2312" w:hAnsi="仿宋" w:eastAsia="仿宋_GB2312" w:cs="仿宋"/>
          <w:sz w:val="32"/>
          <w:szCs w:val="32"/>
          <w:u w:val="none"/>
          <w:lang w:val="en-US" w:eastAsia="zh-CN"/>
        </w:rPr>
        <w:t xml:space="preserve">GB2760-2024《食品安全国家标准 </w:t>
      </w:r>
      <w:r>
        <w:rPr>
          <w:rFonts w:hint="eastAsia" w:ascii="仿宋_GB2312" w:hAnsi="仿宋" w:eastAsia="仿宋_GB2312" w:cs="仿宋"/>
          <w:color w:val="auto"/>
          <w:sz w:val="32"/>
          <w:szCs w:val="32"/>
          <w:u w:val="none"/>
          <w:lang w:val="en-US" w:eastAsia="zh-CN"/>
        </w:rPr>
        <w:t>食品添加剂使用标准</w:t>
      </w:r>
      <w:r>
        <w:rPr>
          <w:rFonts w:hint="eastAsia" w:ascii="仿宋_GB2312" w:hAnsi="仿宋" w:eastAsia="仿宋_GB2312" w:cs="仿宋"/>
          <w:sz w:val="32"/>
          <w:szCs w:val="32"/>
          <w:u w:val="none"/>
          <w:lang w:val="en-US" w:eastAsia="zh-CN"/>
        </w:rPr>
        <w:t>》要求的行为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  <w:t>，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违反了</w:t>
      </w:r>
      <w:r>
        <w:rPr>
          <w:rFonts w:hint="eastAsia" w:ascii="仿宋" w:hAnsi="仿宋" w:eastAsia="仿宋"/>
          <w:sz w:val="32"/>
          <w:szCs w:val="32"/>
          <w:u w:val="none" w:color="auto"/>
        </w:rPr>
        <w:t>《</w:t>
      </w:r>
      <w:r>
        <w:rPr>
          <w:rFonts w:hint="eastAsia" w:ascii="仿宋" w:hAnsi="仿宋" w:eastAsia="仿宋"/>
          <w:sz w:val="32"/>
          <w:szCs w:val="32"/>
          <w:u w:val="none" w:color="auto"/>
          <w:lang w:eastAsia="zh-CN"/>
        </w:rPr>
        <w:t>中华人民共和国食品安全法</w:t>
      </w:r>
      <w:r>
        <w:rPr>
          <w:rFonts w:hint="eastAsia" w:ascii="仿宋" w:hAnsi="仿宋" w:eastAsia="仿宋"/>
          <w:sz w:val="32"/>
          <w:szCs w:val="32"/>
          <w:u w:val="none" w:color="auto"/>
        </w:rPr>
        <w:t>》第</w:t>
      </w:r>
      <w:r>
        <w:rPr>
          <w:rFonts w:hint="eastAsia" w:ascii="仿宋" w:hAnsi="仿宋" w:eastAsia="仿宋"/>
          <w:sz w:val="32"/>
          <w:szCs w:val="32"/>
          <w:u w:val="none" w:color="auto"/>
          <w:lang w:eastAsia="zh-CN"/>
        </w:rPr>
        <w:t>三十四</w:t>
      </w:r>
      <w:r>
        <w:rPr>
          <w:rFonts w:hint="eastAsia" w:ascii="仿宋" w:hAnsi="仿宋" w:eastAsia="仿宋"/>
          <w:sz w:val="32"/>
          <w:szCs w:val="32"/>
          <w:u w:val="none" w:color="auto"/>
        </w:rPr>
        <w:t>条</w:t>
      </w:r>
      <w:r>
        <w:rPr>
          <w:rFonts w:hint="eastAsia" w:ascii="仿宋" w:hAnsi="仿宋" w:eastAsia="仿宋"/>
          <w:sz w:val="32"/>
          <w:szCs w:val="32"/>
          <w:u w:val="none" w:color="auto"/>
          <w:lang w:eastAsia="zh-CN"/>
        </w:rPr>
        <w:t>第一款第</w:t>
      </w:r>
      <w:r>
        <w:rPr>
          <w:rFonts w:hint="eastAsia" w:ascii="仿宋" w:hAnsi="仿宋" w:eastAsia="仿宋"/>
          <w:sz w:val="32"/>
          <w:szCs w:val="32"/>
          <w:u w:val="none" w:color="auto"/>
          <w:lang w:val="en-US" w:eastAsia="zh-CN"/>
        </w:rPr>
        <w:t>(</w:t>
      </w:r>
      <w:r>
        <w:rPr>
          <w:rFonts w:hint="eastAsia" w:ascii="仿宋" w:hAnsi="仿宋" w:eastAsia="仿宋"/>
          <w:sz w:val="32"/>
          <w:szCs w:val="32"/>
          <w:u w:val="none" w:color="auto"/>
          <w:lang w:eastAsia="zh-CN"/>
        </w:rPr>
        <w:t>四</w:t>
      </w:r>
      <w:r>
        <w:rPr>
          <w:rFonts w:hint="eastAsia" w:ascii="仿宋" w:hAnsi="仿宋" w:eastAsia="仿宋"/>
          <w:sz w:val="32"/>
          <w:szCs w:val="32"/>
          <w:u w:val="none" w:color="auto"/>
          <w:lang w:val="en-US" w:eastAsia="zh-CN"/>
        </w:rPr>
        <w:t>)</w:t>
      </w:r>
      <w:r>
        <w:rPr>
          <w:rFonts w:hint="eastAsia" w:ascii="仿宋" w:hAnsi="仿宋" w:eastAsia="仿宋"/>
          <w:sz w:val="32"/>
          <w:szCs w:val="32"/>
          <w:u w:val="none" w:color="auto"/>
          <w:lang w:eastAsia="zh-CN"/>
        </w:rPr>
        <w:t>项</w:t>
      </w:r>
      <w:r>
        <w:rPr>
          <w:rFonts w:hint="eastAsia" w:ascii="仿宋" w:hAnsi="仿宋" w:eastAsia="仿宋" w:cs="仿宋"/>
          <w:color w:val="444444"/>
          <w:kern w:val="0"/>
          <w:sz w:val="32"/>
          <w:szCs w:val="32"/>
          <w:u w:val="none" w:color="auto"/>
          <w:lang w:val="en-US" w:eastAsia="zh-CN" w:bidi="ar-SA"/>
        </w:rPr>
        <w:t>的规定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u w:val="none" w:color="auto"/>
          <w:lang w:val="en-US" w:eastAsia="zh-CN"/>
        </w:rPr>
        <w:t>依据《中华人民共和国食品安全法》第一百二十四条第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u w:val="none" w:color="auto"/>
          <w:lang w:eastAsia="zh-CN"/>
        </w:rPr>
        <w:t>一款第（三）项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u w:val="none" w:color="auto"/>
          <w:lang w:val="en-US" w:eastAsia="zh-CN"/>
        </w:rPr>
        <w:t>的规定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，经本局研究决定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给予</w:t>
      </w:r>
      <w:r>
        <w:rPr>
          <w:rFonts w:hint="eastAsia" w:ascii="仿宋" w:hAnsi="仿宋" w:eastAsia="仿宋" w:cs="仿宋"/>
          <w:sz w:val="32"/>
          <w:szCs w:val="32"/>
          <w:u w:val="none"/>
        </w:rPr>
        <w:t>当事人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如下</w:t>
      </w:r>
      <w:r>
        <w:rPr>
          <w:rFonts w:hint="eastAsia" w:ascii="仿宋" w:hAnsi="仿宋" w:eastAsia="仿宋" w:cs="仿宋"/>
          <w:sz w:val="32"/>
          <w:szCs w:val="32"/>
          <w:u w:val="none"/>
        </w:rPr>
        <w:t>行政处罚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一、没收违法所得人民币24.00元；二、罚款人民币5000.00元。</w:t>
      </w:r>
    </w:p>
    <w:p w14:paraId="7AE5AC1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60" w:lineRule="exact"/>
        <w:ind w:firstLine="640" w:firstLineChars="200"/>
        <w:jc w:val="left"/>
        <w:textAlignment w:val="auto"/>
        <w:rPr>
          <w:rFonts w:ascii="楷体" w:hAnsi="楷体" w:eastAsia="楷体" w:cs="楷体"/>
          <w:color w:val="262626"/>
          <w:kern w:val="0"/>
          <w:sz w:val="32"/>
          <w:szCs w:val="32"/>
        </w:rPr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  <w:lang w:eastAsia="zh-CN"/>
        </w:rPr>
        <w:t>（三）</w:t>
      </w: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整改措施及复查情况</w:t>
      </w:r>
    </w:p>
    <w:p w14:paraId="795CAE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60" w:lineRule="exact"/>
        <w:ind w:firstLine="640" w:firstLineChars="200"/>
        <w:jc w:val="left"/>
        <w:textAlignment w:val="auto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鄂伦春自治旗大杨树镇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忠海五谷粥道营养餐厅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已经向市场监管部门提交了整改报告，监管部门已经对其落实整改情况进行了复查验收。</w:t>
      </w:r>
    </w:p>
    <w:p w14:paraId="0434DC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13A77"/>
    <w:rsid w:val="097E3B0E"/>
    <w:rsid w:val="2DD11C4F"/>
    <w:rsid w:val="2F6007F9"/>
    <w:rsid w:val="39815BA4"/>
    <w:rsid w:val="43647257"/>
    <w:rsid w:val="4753348B"/>
    <w:rsid w:val="55A27EB1"/>
    <w:rsid w:val="575637E7"/>
    <w:rsid w:val="58A03E85"/>
    <w:rsid w:val="60C01093"/>
    <w:rsid w:val="6E59211A"/>
    <w:rsid w:val="70FA5270"/>
    <w:rsid w:val="713F60A2"/>
    <w:rsid w:val="76A5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3032</Words>
  <Characters>3230</Characters>
  <Lines>0</Lines>
  <Paragraphs>0</Paragraphs>
  <TotalTime>9</TotalTime>
  <ScaleCrop>false</ScaleCrop>
  <LinksUpToDate>false</LinksUpToDate>
  <CharactersWithSpaces>3242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2025-08-20T07:55:00Z</dcterms:created>
  <dc:creator>Administrator</dc:creator>
  <cp:lastModifiedBy>微信用户</cp:lastModifiedBy>
  <dcterms:modified xsi:type="dcterms:W3CDTF">2025-12-23T02:07:30Z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eyJoZGlkIjoiNWIzNTFjZTZmZjY2OTEwYTkzYTMwY2MzN2JjODllOWYiLCJ1c2VySWQiOiIxNjYzNTkzNDk3In0=</vt:lpwstr>
  </property>
  <property fmtid="{D5CDD505-2E9C-101B-9397-08002B2CF9AE}" pid="4" name="ICV">
    <vt:lpwstr>71D1034D06E8454DA38D04760DC8535A_13</vt:lpwstr>
  </property>
</Properties>
</file>