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pPr>
        <w:snapToGrid w:val="0"/>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wordWrap w:val="0"/>
        <w:ind w:right="640" w:firstLine="2560" w:firstLineChars="800"/>
        <w:rPr>
          <w:rFonts w:ascii="仿宋_GB2312" w:eastAsia="仿宋_GB2312"/>
          <w:color w:val="000000"/>
          <w:sz w:val="32"/>
          <w:szCs w:val="32"/>
        </w:rPr>
      </w:pPr>
      <w:r>
        <w:rPr>
          <w:rFonts w:hint="eastAsia" w:ascii="仿宋_GB2312" w:eastAsia="仿宋_GB2312"/>
          <w:color w:val="000000"/>
          <w:sz w:val="32"/>
          <w:szCs w:val="32"/>
        </w:rPr>
        <w:t>鄂市监</w:t>
      </w:r>
      <w:r>
        <w:rPr>
          <w:rFonts w:hint="eastAsia" w:ascii="仿宋_GB2312" w:eastAsia="仿宋_GB2312"/>
          <w:sz w:val="32"/>
          <w:szCs w:val="32"/>
        </w:rPr>
        <w:t>综</w:t>
      </w:r>
      <w:r>
        <w:rPr>
          <w:rFonts w:hint="eastAsia" w:ascii="仿宋_GB2312" w:eastAsia="仿宋_GB2312"/>
          <w:sz w:val="32"/>
          <w:szCs w:val="32"/>
          <w:lang w:val="en-US" w:eastAsia="zh-CN"/>
        </w:rPr>
        <w:t>药</w:t>
      </w:r>
      <w:r>
        <w:rPr>
          <w:rFonts w:hint="eastAsia" w:ascii="仿宋_GB2312" w:eastAsia="仿宋_GB2312"/>
          <w:sz w:val="32"/>
          <w:szCs w:val="32"/>
        </w:rPr>
        <w:t>处罚[202</w:t>
      </w:r>
      <w:r>
        <w:rPr>
          <w:rFonts w:hint="eastAsia" w:ascii="仿宋_GB2312" w:eastAsia="仿宋_GB2312"/>
          <w:sz w:val="32"/>
          <w:szCs w:val="32"/>
          <w:lang w:val="en-US" w:eastAsia="zh-CN"/>
        </w:rPr>
        <w:t>6</w:t>
      </w:r>
      <w:r>
        <w:rPr>
          <w:rFonts w:hint="eastAsia" w:ascii="仿宋_GB2312" w:eastAsia="仿宋_GB2312"/>
          <w:sz w:val="32"/>
          <w:szCs w:val="32"/>
        </w:rPr>
        <w:t>]</w:t>
      </w:r>
      <w:r>
        <w:rPr>
          <w:rFonts w:hint="eastAsia" w:ascii="仿宋_GB2312" w:eastAsia="仿宋_GB2312"/>
          <w:sz w:val="32"/>
          <w:szCs w:val="32"/>
          <w:lang w:val="en-US" w:eastAsia="zh-CN"/>
        </w:rPr>
        <w:t>01</w:t>
      </w:r>
      <w:r>
        <w:rPr>
          <w:rFonts w:hint="eastAsia" w:ascii="仿宋_GB2312" w:eastAsia="仿宋_GB2312"/>
          <w:sz w:val="32"/>
          <w:szCs w:val="32"/>
        </w:rPr>
        <w:t>号</w:t>
      </w:r>
    </w:p>
    <w:p>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wps:wsp>
                  </a:graphicData>
                </a:graphic>
              </wp:anchor>
            </w:drawing>
          </mc:Choice>
          <mc:Fallback>
            <w:pict>
              <v:line id="Line 51" o:spid="_x0000_s1026" o:spt="20" style="position:absolute;left:0pt;margin-left:0pt;margin-top:10.75pt;height:0.05pt;width:445.05pt;z-index:251659264;mso-width-relative:page;mso-height-relative:page;" filled="f" stroked="t" coordsize="21600,21600" o:gfxdata="UEsDBAoAAAAAAIdO4kAAAAAAAAAAAAAAAAAEAAAAZHJzL1BLAwQUAAAACACHTuJADyos19YAAAAG&#10;AQAADwAAAGRycy9kb3ducmV2LnhtbE2PzU7DMBCE70i8g7VI3KidSJSQxukBVFUgLm2RuG7jbRyI&#10;12ns/vD2uKdy3JnRzLfV/Ox6caQxdJ41ZBMFgrjxpuNWw+dm8VCACBHZYO+ZNPxSgHl9e1NhafyJ&#10;V3Rcx1akEg4larAxDqWUobHkMEz8QJy8nR8dxnSOrTQjnlK562Wu1FQ67DgtWBzoxVLzsz44Dfi6&#10;XMWvIn9/6t7sx/dmsV/aYq/1/V2mZiAineM1DBf8hA51Ytr6A5sgeg3pkaghzx5BJLd4VhmI7UWY&#10;gqwr+R+//gNQSwMEFAAAAAgAh07iQK9CMni6AQAAgwMAAA4AAABkcnMvZTJvRG9jLnhtbK1Ty24b&#10;MQy8F+g/CLrXu3Zht1h4nUOc9BK0Btp8AK3HrgC9ICpe++9Lya7TJJeiiA8yJQ7J4ZC7vjk6yw4q&#10;oQm+5/NZy5nyIkjjh54//rr/9JUzzOAl2OBVz08K+c3m44f1FDu1CGOwUiVGSTx2U+z5mHPsmgbF&#10;qBzgLETlyalDcpDpmoZGJpgou7PNom1XzRSSjCkIhUiv27OTb2p+rZXIP7RGlZntOXHL9Uz13Jez&#10;2ayhGxLE0YgLDfgPFg6Mp6LXVFvIwJ6SeZPKGZECBp1nIrgmaG2Eqj1QN/P2VTc/R4iq9kLiYLzK&#10;hO+XVnw/7BIzkmbHmQdHI3owXrHlvEgzRewIcet36XLDuEulz6NOrvxTB+xY5Txd5VTHzAQ9LlfL&#10;xfzzkjNBvhUZlKN5Do0J8zcVHCtGzy2VrRLC4QHzGfoHUipZzyZiufjS0hwF0K5oC5lMF4k9+qEG&#10;Y7BG3htrSwimYX9rEztAmX79XTi8gJUqW8DxjKuuAoNuVCDvvGT5FEkXTwvMCwenJGdW0b4XqyIz&#10;GPsvSGrfelKhCHuWslj7IE9V4fpOk646XbayrNLf9xr9/O1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PKizX1gAAAAYBAAAPAAAAAAAAAAEAIAAAACIAAABkcnMvZG93bnJldi54bWxQSwECFAAU&#10;AAAACACHTuJAr0IyeLoBAACDAwAADgAAAAAAAAABACAAAAAlAQAAZHJzL2Uyb0RvYy54bWxQSwUG&#10;AAAAAAYABgBZAQAAUQUAAAAA&#10;">
                <v:fill on="f" focussize="0,0"/>
                <v:stroke weight="1pt" color="#000000" joinstyle="round"/>
                <v:imagedata o:title=""/>
                <o:lock v:ext="edit" aspectratio="f"/>
              </v:line>
            </w:pict>
          </mc:Fallback>
        </mc:AlternateContent>
      </w:r>
    </w:p>
    <w:p>
      <w:pPr>
        <w:keepNext w:val="0"/>
        <w:keepLines w:val="0"/>
        <w:pageBreakBefore w:val="0"/>
        <w:widowControl w:val="0"/>
        <w:kinsoku/>
        <w:wordWrap/>
        <w:overflowPunct/>
        <w:topLinePunct w:val="0"/>
        <w:bidi w:val="0"/>
        <w:snapToGrid/>
        <w:spacing w:line="540" w:lineRule="exact"/>
        <w:textAlignment w:val="auto"/>
        <w:rPr>
          <w:rFonts w:ascii="仿宋" w:hAnsi="仿宋" w:eastAsia="仿宋" w:cs="仿宋"/>
          <w:sz w:val="32"/>
          <w:szCs w:val="32"/>
          <w:u w:val="single"/>
        </w:rPr>
      </w:pPr>
      <w:r>
        <w:rPr>
          <w:rFonts w:hint="eastAsia" w:ascii="仿宋" w:hAnsi="仿宋" w:eastAsia="仿宋" w:cs="仿宋"/>
          <w:sz w:val="32"/>
          <w:szCs w:val="32"/>
          <w:u w:val="single"/>
        </w:rPr>
        <w:t>当事人：鄂伦春自治旗</w:t>
      </w:r>
      <w:r>
        <w:rPr>
          <w:rFonts w:hint="eastAsia" w:ascii="仿宋" w:hAnsi="仿宋" w:eastAsia="仿宋" w:cs="仿宋"/>
          <w:sz w:val="32"/>
          <w:szCs w:val="32"/>
          <w:u w:val="single"/>
          <w:lang w:val="en-US" w:eastAsia="zh-CN"/>
        </w:rPr>
        <w:t>老十药店</w:t>
      </w:r>
      <w:r>
        <w:rPr>
          <w:rFonts w:hint="eastAsia" w:ascii="仿宋" w:hAnsi="仿宋" w:eastAsia="仿宋" w:cs="仿宋"/>
          <w:sz w:val="32"/>
          <w:szCs w:val="32"/>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540" w:lineRule="exact"/>
        <w:jc w:val="left"/>
        <w:textAlignment w:val="auto"/>
        <w:rPr>
          <w:rFonts w:ascii="仿宋" w:hAnsi="仿宋" w:eastAsia="仿宋" w:cs="仿宋"/>
          <w:color w:val="000000"/>
          <w:sz w:val="32"/>
          <w:szCs w:val="32"/>
          <w:u w:val="single"/>
        </w:rPr>
      </w:pPr>
      <w:r>
        <w:rPr>
          <w:rFonts w:hint="eastAsia" w:ascii="仿宋" w:hAnsi="仿宋" w:eastAsia="仿宋" w:cs="仿宋"/>
          <w:color w:val="000000"/>
          <w:sz w:val="32"/>
          <w:szCs w:val="32"/>
          <w:u w:val="single"/>
        </w:rPr>
        <w:t>主体资格证照名称：</w:t>
      </w:r>
      <w:r>
        <w:rPr>
          <w:rFonts w:hint="eastAsia" w:ascii="仿宋" w:hAnsi="仿宋" w:eastAsia="仿宋" w:cs="仿宋"/>
          <w:color w:val="000000" w:themeColor="text1"/>
          <w:sz w:val="32"/>
          <w:szCs w:val="32"/>
          <w:u w:val="single"/>
          <w14:textFill>
            <w14:solidFill>
              <w14:schemeClr w14:val="tx1"/>
            </w14:solidFill>
          </w14:textFill>
        </w:rPr>
        <w:t>《营业执照》</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540" w:lineRule="exact"/>
        <w:jc w:val="left"/>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u w:val="single"/>
        </w:rPr>
        <w:t>统一社会信用代码</w:t>
      </w:r>
      <w:r>
        <w:rPr>
          <w:rFonts w:hint="eastAsia" w:ascii="仿宋" w:hAnsi="仿宋" w:eastAsia="仿宋" w:cs="仿宋"/>
          <w:color w:val="000000" w:themeColor="text1"/>
          <w:sz w:val="32"/>
          <w:szCs w:val="32"/>
          <w:u w:val="single"/>
          <w14:textFill>
            <w14:solidFill>
              <w14:schemeClr w14:val="tx1"/>
            </w14:solidFill>
          </w14:textFill>
        </w:rPr>
        <w:t>：</w:t>
      </w:r>
      <w:r>
        <w:rPr>
          <w:rFonts w:hint="eastAsia" w:eastAsia="仿宋_GB2312"/>
          <w:color w:val="000000" w:themeColor="text1"/>
          <w:sz w:val="32"/>
          <w:szCs w:val="32"/>
          <w:u w:val="single"/>
          <w14:textFill>
            <w14:solidFill>
              <w14:schemeClr w14:val="tx1"/>
            </w14:solidFill>
          </w14:textFill>
        </w:rPr>
        <w:t>9</w:t>
      </w:r>
      <w:r>
        <w:rPr>
          <w:rFonts w:hint="eastAsia" w:eastAsia="仿宋_GB2312"/>
          <w:color w:val="000000" w:themeColor="text1"/>
          <w:sz w:val="32"/>
          <w:szCs w:val="32"/>
          <w:u w:val="single"/>
          <w:lang w:val="en-US" w:eastAsia="zh-CN"/>
          <w14:textFill>
            <w14:solidFill>
              <w14:schemeClr w14:val="tx1"/>
            </w14:solidFill>
          </w14:textFill>
        </w:rPr>
        <w:t>1</w:t>
      </w:r>
      <w:r>
        <w:rPr>
          <w:rFonts w:hint="eastAsia" w:eastAsia="仿宋_GB2312"/>
          <w:color w:val="000000" w:themeColor="text1"/>
          <w:sz w:val="32"/>
          <w:szCs w:val="32"/>
          <w:u w:val="single"/>
          <w14:textFill>
            <w14:solidFill>
              <w14:schemeClr w14:val="tx1"/>
            </w14:solidFill>
          </w14:textFill>
        </w:rPr>
        <w:t>150723</w:t>
      </w:r>
      <w:r>
        <w:rPr>
          <w:rFonts w:hint="eastAsia" w:eastAsia="仿宋_GB2312"/>
          <w:color w:val="000000" w:themeColor="text1"/>
          <w:sz w:val="32"/>
          <w:szCs w:val="32"/>
          <w:u w:val="single"/>
          <w:lang w:val="en-US" w:eastAsia="zh-CN"/>
          <w14:textFill>
            <w14:solidFill>
              <w14:schemeClr w14:val="tx1"/>
            </w14:solidFill>
          </w14:textFill>
        </w:rPr>
        <w:t>6994******</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40" w:lineRule="exact"/>
        <w:jc w:val="left"/>
        <w:textAlignment w:val="auto"/>
        <w:rPr>
          <w:rFonts w:ascii="仿宋" w:hAnsi="仿宋" w:eastAsia="仿宋" w:cs="仿宋"/>
          <w:sz w:val="32"/>
          <w:szCs w:val="32"/>
          <w:u w:val="single"/>
        </w:rPr>
      </w:pPr>
      <w:r>
        <w:rPr>
          <w:rFonts w:hint="eastAsia" w:ascii="仿宋" w:hAnsi="仿宋" w:eastAsia="仿宋" w:cs="仿宋"/>
          <w:sz w:val="32"/>
          <w:szCs w:val="32"/>
          <w:u w:val="single"/>
        </w:rPr>
        <w:t>住所：</w:t>
      </w:r>
      <w:r>
        <w:rPr>
          <w:rFonts w:hint="eastAsia" w:ascii="仿宋" w:hAnsi="仿宋" w:eastAsia="仿宋" w:cs="仿宋"/>
          <w:sz w:val="32"/>
          <w:szCs w:val="32"/>
          <w:u w:val="single"/>
          <w:lang w:val="en-US" w:eastAsia="zh-CN"/>
        </w:rPr>
        <w:t>内蒙古自治区呼伦贝尔市</w:t>
      </w:r>
      <w:r>
        <w:rPr>
          <w:rFonts w:hint="eastAsia" w:eastAsia="仿宋_GB2312" w:cs="仿宋_GB2312"/>
          <w:sz w:val="32"/>
          <w:szCs w:val="32"/>
          <w:u w:val="single"/>
        </w:rPr>
        <w:t>鄂伦春自治旗大杨树镇</w:t>
      </w:r>
      <w:r>
        <w:rPr>
          <w:rFonts w:hint="eastAsia" w:ascii="仿宋" w:hAnsi="仿宋" w:eastAsia="仿宋" w:cs="仿宋"/>
          <w:color w:val="000000"/>
          <w:sz w:val="32"/>
          <w:szCs w:val="32"/>
          <w:u w:val="single"/>
          <w:lang w:val="en-US" w:eastAsia="zh-CN"/>
        </w:rPr>
        <w:t>法定代表人（</w:t>
      </w:r>
      <w:r>
        <w:rPr>
          <w:rFonts w:hint="eastAsia" w:ascii="仿宋" w:hAnsi="仿宋" w:eastAsia="仿宋" w:cs="仿宋"/>
          <w:color w:val="000000"/>
          <w:sz w:val="32"/>
          <w:szCs w:val="32"/>
          <w:u w:val="single"/>
        </w:rPr>
        <w:t>负责人</w:t>
      </w:r>
      <w:r>
        <w:rPr>
          <w:rFonts w:hint="eastAsia" w:ascii="仿宋" w:hAnsi="仿宋" w:eastAsia="仿宋" w:cs="仿宋"/>
          <w:color w:val="000000"/>
          <w:sz w:val="32"/>
          <w:szCs w:val="32"/>
          <w:u w:val="single"/>
          <w:lang w:eastAsia="zh-CN"/>
        </w:rPr>
        <w:t>）</w:t>
      </w:r>
      <w:r>
        <w:rPr>
          <w:rFonts w:hint="eastAsia" w:ascii="仿宋" w:hAnsi="仿宋" w:eastAsia="仿宋" w:cs="仿宋"/>
          <w:sz w:val="32"/>
          <w:szCs w:val="32"/>
          <w:u w:val="single"/>
        </w:rPr>
        <w:t>：</w:t>
      </w:r>
      <w:r>
        <w:rPr>
          <w:rFonts w:hint="eastAsia" w:eastAsia="仿宋_GB2312"/>
          <w:color w:val="000000"/>
          <w:sz w:val="32"/>
          <w:szCs w:val="32"/>
          <w:u w:val="single"/>
          <w:lang w:val="en-US" w:eastAsia="zh-CN"/>
        </w:rPr>
        <w:t>武**</w:t>
      </w:r>
      <w:bookmarkStart w:id="6" w:name="_GoBack"/>
      <w:bookmarkEnd w:id="6"/>
      <w:r>
        <w:rPr>
          <w:rFonts w:hint="eastAsia" w:ascii="仿宋" w:hAnsi="仿宋" w:eastAsia="仿宋" w:cs="仿宋"/>
          <w:sz w:val="32"/>
          <w:szCs w:val="32"/>
          <w:u w:val="single"/>
        </w:rPr>
        <w:t xml:space="preserve">                                      </w:t>
      </w:r>
    </w:p>
    <w:p>
      <w:pPr>
        <w:keepNext w:val="0"/>
        <w:keepLines w:val="0"/>
        <w:pageBreakBefore w:val="0"/>
        <w:widowControl w:val="0"/>
        <w:kinsoku/>
        <w:wordWrap/>
        <w:overflowPunct/>
        <w:topLinePunct w:val="0"/>
        <w:bidi w:val="0"/>
        <w:snapToGrid/>
        <w:spacing w:line="540" w:lineRule="exact"/>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u w:val="single"/>
        </w:rPr>
        <w:t>身份证号码：</w:t>
      </w:r>
      <w:r>
        <w:rPr>
          <w:rFonts w:hint="eastAsia" w:eastAsia="仿宋_GB2312"/>
          <w:color w:val="000000"/>
          <w:sz w:val="32"/>
          <w:szCs w:val="32"/>
          <w:u w:val="single"/>
          <w:lang w:val="en-US" w:eastAsia="zh-CN"/>
        </w:rPr>
        <w:t>152127**********21</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p>
    <w:p>
      <w:pPr>
        <w:keepNext w:val="0"/>
        <w:keepLines w:val="0"/>
        <w:pageBreakBefore w:val="0"/>
        <w:widowControl w:val="0"/>
        <w:kinsoku/>
        <w:wordWrap/>
        <w:overflowPunct/>
        <w:topLinePunct w:val="0"/>
        <w:bidi w:val="0"/>
        <w:snapToGrid/>
        <w:spacing w:line="540" w:lineRule="exact"/>
        <w:ind w:firstLine="640" w:firstLineChars="200"/>
        <w:jc w:val="distribute"/>
        <w:textAlignment w:val="auto"/>
        <w:rPr>
          <w:rFonts w:hint="default" w:ascii="仿宋" w:hAnsi="仿宋" w:eastAsia="仿宋" w:cs="仿宋"/>
          <w:sz w:val="32"/>
          <w:szCs w:val="32"/>
          <w:u w:val="single"/>
          <w:lang w:val="en-US" w:eastAsia="zh-CN"/>
        </w:rPr>
      </w:pPr>
      <w:bookmarkStart w:id="0" w:name="_Hlk138856018"/>
      <w:bookmarkStart w:id="1" w:name="_Hlk141797584"/>
      <w:bookmarkStart w:id="2" w:name="_Hlk142041281"/>
      <w:r>
        <w:rPr>
          <w:rFonts w:hint="eastAsia" w:ascii="仿宋" w:hAnsi="仿宋" w:eastAsia="仿宋" w:cs="仿宋"/>
          <w:color w:val="000000"/>
          <w:sz w:val="32"/>
          <w:szCs w:val="32"/>
          <w:u w:val="single"/>
        </w:rPr>
        <w:t>202</w:t>
      </w:r>
      <w:r>
        <w:rPr>
          <w:rFonts w:hint="eastAsia" w:ascii="仿宋" w:hAnsi="仿宋" w:eastAsia="仿宋" w:cs="仿宋"/>
          <w:color w:val="000000"/>
          <w:sz w:val="32"/>
          <w:szCs w:val="32"/>
          <w:u w:val="single"/>
          <w:lang w:val="en-US" w:eastAsia="zh-CN"/>
        </w:rPr>
        <w:t>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12</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23</w:t>
      </w:r>
      <w:r>
        <w:rPr>
          <w:rFonts w:hint="eastAsia" w:ascii="仿宋" w:hAnsi="仿宋" w:eastAsia="仿宋" w:cs="仿宋"/>
          <w:color w:val="000000"/>
          <w:sz w:val="32"/>
          <w:szCs w:val="32"/>
          <w:u w:val="single"/>
        </w:rPr>
        <w:t>日</w:t>
      </w:r>
      <w:r>
        <w:rPr>
          <w:rFonts w:hint="eastAsia" w:ascii="仿宋" w:hAnsi="仿宋" w:eastAsia="仿宋" w:cs="仿宋"/>
          <w:color w:val="000000"/>
          <w:sz w:val="32"/>
          <w:szCs w:val="32"/>
          <w:u w:val="single"/>
          <w:lang w:val="en-US" w:eastAsia="zh-CN"/>
        </w:rPr>
        <w:t>我</w:t>
      </w:r>
      <w:r>
        <w:rPr>
          <w:rFonts w:hint="eastAsia" w:ascii="仿宋" w:hAnsi="仿宋" w:eastAsia="仿宋" w:cs="仿宋"/>
          <w:color w:val="000000"/>
          <w:sz w:val="32"/>
          <w:szCs w:val="32"/>
          <w:u w:val="single"/>
        </w:rPr>
        <w:t>局</w:t>
      </w:r>
      <w:r>
        <w:rPr>
          <w:rFonts w:hint="eastAsia" w:ascii="仿宋" w:hAnsi="仿宋" w:eastAsia="仿宋" w:cs="仿宋"/>
          <w:color w:val="000000"/>
          <w:sz w:val="32"/>
          <w:szCs w:val="32"/>
          <w:u w:val="single"/>
          <w:lang w:val="en-US" w:eastAsia="zh-CN"/>
        </w:rPr>
        <w:t>接到呼伦贝尔市12345政务服务便民热线服务工单（工单编号：DH2512121044；问题描述：名称：老十药店 地址：大杨树镇第五人民医院斜对面，市民于2025年12月23日10：09购买补肺丸花费298元，市民为自费购买，市民扫商家的药品追溯码，没有显示购药记录；诉求目的：处理扫描药品追溯码没有显示购药记录问题）。我局</w:t>
      </w:r>
      <w:r>
        <w:rPr>
          <w:rFonts w:hint="eastAsia" w:ascii="仿宋" w:hAnsi="仿宋" w:eastAsia="仿宋" w:cs="仿宋"/>
          <w:color w:val="000000"/>
          <w:sz w:val="32"/>
          <w:szCs w:val="32"/>
          <w:u w:val="single"/>
        </w:rPr>
        <w:t>执法人员</w:t>
      </w:r>
      <w:r>
        <w:rPr>
          <w:rFonts w:hint="eastAsia" w:ascii="仿宋" w:hAnsi="仿宋" w:eastAsia="仿宋" w:cs="仿宋"/>
          <w:color w:val="000000"/>
          <w:sz w:val="32"/>
          <w:szCs w:val="32"/>
          <w:u w:val="single"/>
          <w:lang w:val="en-US" w:eastAsia="zh-CN"/>
        </w:rPr>
        <w:t>于2025年12月31日对鄂伦春自治旗老十药店调查核实该药店涉嫌违规销售补肺丸违规情况，</w:t>
      </w:r>
      <w:r>
        <w:rPr>
          <w:rFonts w:hint="eastAsia" w:ascii="仿宋" w:hAnsi="仿宋" w:eastAsia="仿宋" w:cs="仿宋"/>
          <w:sz w:val="32"/>
          <w:szCs w:val="32"/>
          <w:u w:val="single"/>
        </w:rPr>
        <w:t>执法人员在该药店经营场所货架上发现：标称“补肺丸”（生产企业：丽彩甘肃西蜂制药有限公司，规格：每丸重9克,10丸/板×4板，产品批号：2411009，生产日期：2024.11.17，有效期至2027.10）的药品2盒，在有效期内；</w:t>
      </w:r>
      <w:r>
        <w:rPr>
          <w:rFonts w:hint="eastAsia" w:ascii="仿宋" w:hAnsi="仿宋" w:eastAsia="仿宋" w:cs="仿宋"/>
          <w:sz w:val="32"/>
          <w:szCs w:val="32"/>
          <w:u w:val="single"/>
          <w:lang w:val="en-US" w:eastAsia="zh-CN"/>
        </w:rPr>
        <w:t>执法人员通过在电</w:t>
      </w:r>
      <w:r>
        <w:rPr>
          <w:rFonts w:hint="eastAsia" w:ascii="仿宋" w:hAnsi="仿宋" w:eastAsia="仿宋" w:cs="仿宋"/>
          <w:sz w:val="32"/>
          <w:szCs w:val="32"/>
          <w:u w:val="single"/>
        </w:rPr>
        <w:t>脑上查询该药店该药品的入库记录，该药店于2025年11月26日从国药控股呼伦贝尔有限公司购进称“补肺丸”（生产企业：丽彩甘肃西蜂制药有限公司，规格：每丸重9克,10丸/板×4板，产品批号：2411009，生产日期：2024.11.17，有效期至2027.10）的药品10盒；执法人员通过在电脑上查询该药店的药品销售记录，该药店2015年12月17日销售该批次药品1盒、2015年12月19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批次药品2盒、2025年12月20日销售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批次药品2盒、2025年12月23日销售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w:t>
      </w:r>
      <w:r>
        <w:rPr>
          <w:rFonts w:hint="eastAsia" w:ascii="仿宋" w:hAnsi="仿宋" w:eastAsia="仿宋" w:cs="仿宋"/>
          <w:sz w:val="32"/>
          <w:szCs w:val="32"/>
          <w:u w:val="single"/>
          <w:lang w:val="en-US" w:eastAsia="zh-CN"/>
        </w:rPr>
        <w:t>次药</w:t>
      </w:r>
      <w:r>
        <w:rPr>
          <w:rFonts w:hint="eastAsia" w:ascii="仿宋" w:hAnsi="仿宋" w:eastAsia="仿宋" w:cs="仿宋"/>
          <w:sz w:val="32"/>
          <w:szCs w:val="32"/>
          <w:u w:val="single"/>
        </w:rPr>
        <w:t>品1盒、2025 年12月28日销售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批次药品2盒</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共计销售该批次补肺丸8盒，五份销售凭证上标注的产品批号均为202506，与实际销售的药品的产品批号24</w:t>
      </w:r>
    </w:p>
    <w:p>
      <w:pPr>
        <w:keepNext w:val="0"/>
        <w:keepLines w:val="0"/>
        <w:pageBreakBefore w:val="0"/>
        <w:widowControl w:val="0"/>
        <w:kinsoku/>
        <w:wordWrap/>
        <w:overflowPunct/>
        <w:topLinePunct w:val="0"/>
        <w:bidi w:val="0"/>
        <w:snapToGrid/>
        <w:spacing w:line="540" w:lineRule="exact"/>
        <w:jc w:val="both"/>
        <w:textAlignment w:val="auto"/>
        <w:rPr>
          <w:rFonts w:hint="default" w:ascii="仿宋" w:hAnsi="仿宋" w:eastAsia="仿宋" w:cs="仿宋"/>
          <w:color w:val="000000"/>
          <w:sz w:val="32"/>
          <w:szCs w:val="32"/>
          <w:u w:val="single"/>
          <w:lang w:val="en-US" w:eastAsia="zh-CN"/>
        </w:rPr>
      </w:pPr>
      <w:r>
        <w:rPr>
          <w:rFonts w:hint="eastAsia" w:ascii="仿宋" w:hAnsi="仿宋" w:eastAsia="仿宋" w:cs="仿宋"/>
          <w:sz w:val="32"/>
          <w:szCs w:val="32"/>
          <w:u w:val="single"/>
          <w:lang w:val="en-US" w:eastAsia="zh-CN"/>
        </w:rPr>
        <w:t>11009不一致。执法人员在电脑</w:t>
      </w:r>
      <w:r>
        <w:rPr>
          <w:rFonts w:hint="eastAsia" w:ascii="仿宋" w:hAnsi="仿宋" w:eastAsia="仿宋" w:cs="仿宋"/>
          <w:sz w:val="32"/>
          <w:szCs w:val="32"/>
          <w:u w:val="single"/>
        </w:rPr>
        <w:t>上查询该药店东软医保进销存系统扫描药品追溯码销售记录，未发现标称“补肺丸”（生产企业：丽彩甘肃西蜂制药有限公司，规格：每丸重9克,10丸/板×4板，产品批号：2411009，生产日期：2024.11.17，有效期至2027.10）的药品的追溯信息；</w:t>
      </w:r>
      <w:r>
        <w:rPr>
          <w:rFonts w:hint="eastAsia" w:ascii="仿宋" w:hAnsi="仿宋" w:eastAsia="仿宋" w:cs="仿宋"/>
          <w:color w:val="000000"/>
          <w:sz w:val="32"/>
          <w:szCs w:val="32"/>
          <w:u w:val="single"/>
          <w:lang w:val="en-US" w:eastAsia="zh-CN"/>
        </w:rPr>
        <w:t>执法人员对上述情况制作了现场笔录并拍照取证。当事人销售药品环节未执行追溯码扫码操作，未按规定采集、上传药品追溯信息的</w:t>
      </w:r>
      <w:r>
        <w:rPr>
          <w:rFonts w:hint="eastAsia" w:ascii="仿宋" w:hAnsi="仿宋" w:eastAsia="仿宋" w:cs="仿宋"/>
          <w:color w:val="000000"/>
          <w:sz w:val="32"/>
          <w:szCs w:val="32"/>
          <w:u w:val="single"/>
        </w:rPr>
        <w:t>行为</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涉嫌</w:t>
      </w:r>
      <w:r>
        <w:rPr>
          <w:rFonts w:hint="eastAsia" w:ascii="仿宋" w:hAnsi="仿宋" w:eastAsia="仿宋" w:cs="仿宋"/>
          <w:color w:val="444444"/>
          <w:kern w:val="0"/>
          <w:sz w:val="32"/>
          <w:szCs w:val="32"/>
          <w:u w:val="single"/>
        </w:rPr>
        <w:t>违反了</w:t>
      </w:r>
      <w:r>
        <w:rPr>
          <w:rFonts w:hint="eastAsia" w:ascii="仿宋" w:hAnsi="仿宋" w:eastAsia="仿宋" w:cs="仿宋"/>
          <w:color w:val="444444"/>
          <w:kern w:val="0"/>
          <w:sz w:val="32"/>
          <w:szCs w:val="32"/>
          <w:u w:val="single"/>
          <w:lang w:eastAsia="zh-CN"/>
        </w:rPr>
        <w:t>《</w:t>
      </w:r>
      <w:r>
        <w:rPr>
          <w:rFonts w:hint="eastAsia" w:ascii="仿宋" w:hAnsi="仿宋" w:eastAsia="仿宋" w:cs="仿宋"/>
          <w:color w:val="444444"/>
          <w:kern w:val="0"/>
          <w:sz w:val="32"/>
          <w:szCs w:val="32"/>
          <w:u w:val="single"/>
          <w:lang w:val="en-US" w:eastAsia="zh-CN"/>
        </w:rPr>
        <w:t>中华人民共和国药品管理法》第三十六条、第五十三条、</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药品经营质量管理规范</w:t>
      </w:r>
      <w:r>
        <w:rPr>
          <w:rFonts w:hint="eastAsia" w:ascii="仿宋" w:hAnsi="仿宋" w:eastAsia="仿宋" w:cs="仿宋"/>
          <w:sz w:val="32"/>
          <w:szCs w:val="32"/>
          <w:u w:val="single"/>
        </w:rPr>
        <w:t>》第</w:t>
      </w:r>
      <w:r>
        <w:rPr>
          <w:rFonts w:hint="eastAsia" w:ascii="仿宋" w:hAnsi="仿宋" w:eastAsia="仿宋" w:cs="仿宋"/>
          <w:sz w:val="32"/>
          <w:szCs w:val="32"/>
          <w:u w:val="single"/>
          <w:lang w:val="en-US" w:eastAsia="zh-CN"/>
        </w:rPr>
        <w:t>一百三十</w:t>
      </w:r>
      <w:r>
        <w:rPr>
          <w:rFonts w:hint="eastAsia" w:ascii="仿宋" w:hAnsi="仿宋" w:eastAsia="仿宋" w:cs="仿宋"/>
          <w:sz w:val="32"/>
          <w:szCs w:val="32"/>
          <w:u w:val="single"/>
        </w:rPr>
        <w:t>九条</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rPr>
        <w:t>第一</w:t>
      </w:r>
      <w:r>
        <w:rPr>
          <w:rFonts w:hint="eastAsia" w:ascii="仿宋" w:hAnsi="仿宋" w:eastAsia="仿宋" w:cs="仿宋"/>
          <w:sz w:val="32"/>
          <w:szCs w:val="32"/>
          <w:u w:val="single"/>
          <w:lang w:val="en-US" w:eastAsia="zh-CN"/>
        </w:rPr>
        <w:t>百四十一条</w:t>
      </w:r>
      <w:r>
        <w:rPr>
          <w:rFonts w:hint="eastAsia" w:ascii="仿宋" w:hAnsi="仿宋" w:eastAsia="仿宋" w:cs="仿宋"/>
          <w:color w:val="444444"/>
          <w:kern w:val="0"/>
          <w:sz w:val="32"/>
          <w:szCs w:val="32"/>
          <w:u w:val="single"/>
        </w:rPr>
        <w:t>的规定</w:t>
      </w:r>
      <w:r>
        <w:rPr>
          <w:rFonts w:hint="eastAsia" w:ascii="仿宋" w:hAnsi="仿宋" w:eastAsia="仿宋" w:cs="仿宋"/>
          <w:color w:val="000000"/>
          <w:sz w:val="32"/>
          <w:szCs w:val="32"/>
          <w:u w:val="single"/>
        </w:rPr>
        <w:t>，构成了</w:t>
      </w:r>
      <w:r>
        <w:rPr>
          <w:rFonts w:hint="eastAsia" w:ascii="仿宋" w:hAnsi="仿宋" w:eastAsia="仿宋" w:cs="仿宋"/>
          <w:color w:val="000000"/>
          <w:sz w:val="32"/>
          <w:szCs w:val="32"/>
          <w:u w:val="single"/>
          <w:lang w:val="en-US" w:eastAsia="zh-CN"/>
        </w:rPr>
        <w:t>销售药品时未履行追溯扫码义务，导致药品追溯信息不完整</w:t>
      </w:r>
      <w:r>
        <w:rPr>
          <w:rFonts w:hint="eastAsia" w:ascii="仿宋" w:hAnsi="仿宋" w:eastAsia="仿宋" w:cs="仿宋"/>
          <w:color w:val="000000"/>
          <w:sz w:val="32"/>
          <w:szCs w:val="32"/>
          <w:u w:val="single"/>
        </w:rPr>
        <w:t>的违法行为。</w:t>
      </w:r>
      <w:r>
        <w:rPr>
          <w:rFonts w:hint="eastAsia" w:ascii="仿宋" w:hAnsi="仿宋" w:eastAsia="仿宋" w:cs="仿宋"/>
          <w:color w:val="000000"/>
          <w:sz w:val="32"/>
          <w:szCs w:val="32"/>
          <w:u w:val="single"/>
          <w:lang w:val="en-US" w:eastAsia="zh-CN"/>
        </w:rPr>
        <w:t>当事人销售药品时开具的销售凭证上的产品批号与所售药品实际产品批号不符的行为，涉嫌违反了《中华人民共和国药品管理法》第五十七条、《药品经营质量管理规范》第一百六十八条、《药品经营和使用质量监督管理办法》第四十二条第三款的规定，构成了销售凭证标注批号与实际药品批号不一致，导致药品追溯信息不真实完整的违法行为</w:t>
      </w:r>
      <w:bookmarkEnd w:id="0"/>
      <w:bookmarkEnd w:id="1"/>
      <w:bookmarkEnd w:id="2"/>
      <w:r>
        <w:rPr>
          <w:rFonts w:hint="eastAsia" w:ascii="仿宋" w:hAnsi="仿宋" w:eastAsia="仿宋" w:cs="仿宋"/>
          <w:color w:val="000000"/>
          <w:sz w:val="32"/>
          <w:szCs w:val="32"/>
          <w:u w:val="single"/>
        </w:rPr>
        <w:t>。</w:t>
      </w:r>
      <w:r>
        <w:rPr>
          <w:rFonts w:hint="eastAsia" w:ascii="仿宋" w:hAnsi="仿宋" w:eastAsia="仿宋" w:cs="仿宋"/>
          <w:sz w:val="32"/>
          <w:szCs w:val="32"/>
          <w:u w:val="single"/>
        </w:rPr>
        <w:t>执法人员于202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12</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31</w:t>
      </w:r>
      <w:r>
        <w:rPr>
          <w:rFonts w:hint="eastAsia" w:ascii="仿宋" w:hAnsi="仿宋" w:eastAsia="仿宋" w:cs="仿宋"/>
          <w:sz w:val="32"/>
          <w:szCs w:val="32"/>
          <w:u w:val="single"/>
        </w:rPr>
        <w:t>日填写了《立案审批表》并附现场笔录请示局领导批准立案。本局于202</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12</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31</w:t>
      </w:r>
      <w:r>
        <w:rPr>
          <w:rFonts w:hint="eastAsia" w:ascii="仿宋" w:hAnsi="仿宋" w:eastAsia="仿宋" w:cs="仿宋"/>
          <w:sz w:val="32"/>
          <w:szCs w:val="32"/>
          <w:u w:val="single"/>
        </w:rPr>
        <w:t>日依法立</w:t>
      </w:r>
      <w:r>
        <w:rPr>
          <w:rFonts w:hint="eastAsia" w:ascii="仿宋" w:hAnsi="仿宋" w:eastAsia="仿宋" w:cs="仿宋"/>
          <w:color w:val="000000"/>
          <w:sz w:val="32"/>
          <w:szCs w:val="32"/>
          <w:u w:val="single"/>
        </w:rPr>
        <w:t>案调查。</w:t>
      </w:r>
      <w:r>
        <w:rPr>
          <w:rFonts w:hint="eastAsia" w:ascii="仿宋" w:hAnsi="仿宋" w:eastAsia="仿宋" w:cs="仿宋"/>
          <w:color w:val="000000"/>
          <w:sz w:val="32"/>
          <w:szCs w:val="32"/>
          <w:u w:val="single"/>
          <w:lang w:val="en-US" w:eastAsia="zh-CN"/>
        </w:rPr>
        <w:t xml:space="preserve">                                              </w:t>
      </w:r>
    </w:p>
    <w:p>
      <w:pPr>
        <w:pStyle w:val="4"/>
        <w:keepNext w:val="0"/>
        <w:keepLines w:val="0"/>
        <w:pageBreakBefore w:val="0"/>
        <w:widowControl/>
        <w:kinsoku/>
        <w:wordWrap/>
        <w:overflowPunct/>
        <w:topLinePunct w:val="0"/>
        <w:bidi w:val="0"/>
        <w:snapToGrid/>
        <w:spacing w:before="0" w:beforeAutospacing="0" w:after="0" w:afterAutospacing="0" w:line="540" w:lineRule="exact"/>
        <w:ind w:firstLine="640" w:firstLineChars="200"/>
        <w:jc w:val="both"/>
        <w:textAlignment w:val="auto"/>
        <w:rPr>
          <w:rFonts w:ascii="仿宋" w:hAnsi="仿宋" w:eastAsia="仿宋" w:cs="仿宋"/>
          <w:sz w:val="32"/>
          <w:szCs w:val="32"/>
          <w:u w:val="single"/>
        </w:rPr>
      </w:pPr>
      <w:r>
        <w:rPr>
          <w:rFonts w:hint="eastAsia" w:ascii="仿宋" w:hAnsi="仿宋" w:eastAsia="仿宋" w:cs="仿宋"/>
          <w:color w:val="000000"/>
          <w:sz w:val="32"/>
          <w:szCs w:val="32"/>
          <w:u w:val="single"/>
          <w:lang w:val="en-US" w:eastAsia="zh-CN"/>
        </w:rPr>
        <w:t>2025年12月31日，执法人员对该店店长徐学莲进行了询问并制作了询问笔录。</w:t>
      </w:r>
      <w:r>
        <w:rPr>
          <w:rFonts w:hint="eastAsia" w:ascii="仿宋" w:hAnsi="仿宋" w:eastAsia="仿宋" w:cs="仿宋"/>
          <w:color w:val="000000"/>
          <w:sz w:val="32"/>
          <w:szCs w:val="32"/>
          <w:u w:val="single"/>
        </w:rPr>
        <w:t xml:space="preserve">                                                      </w:t>
      </w:r>
    </w:p>
    <w:p>
      <w:pPr>
        <w:keepNext w:val="0"/>
        <w:keepLines w:val="0"/>
        <w:pageBreakBefore w:val="0"/>
        <w:kinsoku/>
        <w:wordWrap/>
        <w:overflowPunct/>
        <w:topLinePunct w:val="0"/>
        <w:bidi w:val="0"/>
        <w:snapToGrid/>
        <w:spacing w:line="540" w:lineRule="exact"/>
        <w:ind w:left="640" w:hanging="640" w:hangingChars="200"/>
        <w:jc w:val="both"/>
        <w:textAlignment w:val="auto"/>
        <w:rPr>
          <w:rFonts w:hint="eastAsia" w:eastAsia="仿宋_GB2312"/>
          <w:color w:val="000000"/>
          <w:sz w:val="32"/>
          <w:szCs w:val="32"/>
          <w:u w:val="single"/>
          <w:lang w:val="en-US" w:eastAsia="zh-CN"/>
        </w:rPr>
      </w:pP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经查，</w:t>
      </w:r>
      <w:bookmarkStart w:id="3" w:name="_Hlk138856128"/>
      <w:bookmarkStart w:id="4" w:name="_Hlk142041411"/>
      <w:r>
        <w:rPr>
          <w:rFonts w:hint="eastAsia" w:ascii="仿宋" w:hAnsi="仿宋" w:eastAsia="仿宋" w:cs="仿宋"/>
          <w:color w:val="000000"/>
          <w:sz w:val="32"/>
          <w:szCs w:val="32"/>
          <w:u w:val="single"/>
          <w:lang w:val="en-US" w:eastAsia="zh-CN"/>
        </w:rPr>
        <w:t>当事人于</w:t>
      </w:r>
      <w:r>
        <w:rPr>
          <w:rFonts w:hint="eastAsia" w:eastAsia="仿宋_GB2312"/>
          <w:color w:val="000000"/>
          <w:sz w:val="32"/>
          <w:szCs w:val="32"/>
          <w:u w:val="single"/>
        </w:rPr>
        <w:t>20</w:t>
      </w:r>
      <w:r>
        <w:rPr>
          <w:rFonts w:eastAsia="仿宋_GB2312"/>
          <w:color w:val="000000"/>
          <w:sz w:val="32"/>
          <w:szCs w:val="32"/>
          <w:u w:val="single"/>
        </w:rPr>
        <w:t>2</w:t>
      </w:r>
      <w:r>
        <w:rPr>
          <w:rFonts w:hint="eastAsia" w:eastAsia="仿宋_GB2312"/>
          <w:color w:val="000000"/>
          <w:sz w:val="32"/>
          <w:szCs w:val="32"/>
          <w:u w:val="single"/>
          <w:lang w:val="en-US" w:eastAsia="zh-CN"/>
        </w:rPr>
        <w:t>5</w:t>
      </w:r>
      <w:r>
        <w:rPr>
          <w:rFonts w:hint="eastAsia" w:eastAsia="仿宋_GB2312"/>
          <w:color w:val="000000"/>
          <w:sz w:val="32"/>
          <w:szCs w:val="32"/>
          <w:u w:val="single"/>
        </w:rPr>
        <w:t>年</w:t>
      </w:r>
      <w:r>
        <w:rPr>
          <w:rFonts w:hint="eastAsia" w:eastAsia="仿宋_GB2312"/>
          <w:color w:val="000000"/>
          <w:sz w:val="32"/>
          <w:szCs w:val="32"/>
          <w:u w:val="single"/>
          <w:lang w:val="en-US" w:eastAsia="zh-CN"/>
        </w:rPr>
        <w:t>11</w:t>
      </w:r>
      <w:r>
        <w:rPr>
          <w:rFonts w:hint="eastAsia" w:eastAsia="仿宋_GB2312"/>
          <w:color w:val="000000"/>
          <w:sz w:val="32"/>
          <w:szCs w:val="32"/>
          <w:u w:val="single"/>
        </w:rPr>
        <w:t>月</w:t>
      </w:r>
      <w:r>
        <w:rPr>
          <w:rFonts w:hint="eastAsia" w:eastAsia="仿宋_GB2312"/>
          <w:color w:val="000000"/>
          <w:sz w:val="32"/>
          <w:szCs w:val="32"/>
          <w:u w:val="single"/>
          <w:lang w:val="en-US" w:eastAsia="zh-CN"/>
        </w:rPr>
        <w:t>26日从国药控股呼伦贝</w:t>
      </w:r>
    </w:p>
    <w:p>
      <w:pPr>
        <w:keepNext w:val="0"/>
        <w:keepLines w:val="0"/>
        <w:pageBreakBefore w:val="0"/>
        <w:widowControl w:val="0"/>
        <w:kinsoku/>
        <w:wordWrap/>
        <w:overflowPunct/>
        <w:topLinePunct w:val="0"/>
        <w:bidi w:val="0"/>
        <w:snapToGrid/>
        <w:spacing w:line="540" w:lineRule="exact"/>
        <w:jc w:val="both"/>
        <w:textAlignment w:val="auto"/>
        <w:rPr>
          <w:rFonts w:hint="default" w:ascii="仿宋_GB2312" w:hAnsi="仿宋" w:eastAsia="仿宋_GB2312" w:cs="Mongolian Baiti"/>
          <w:sz w:val="32"/>
          <w:szCs w:val="32"/>
          <w:u w:val="single"/>
          <w:lang w:val="en-US" w:eastAsia="zh-CN"/>
        </w:rPr>
      </w:pPr>
      <w:r>
        <w:rPr>
          <w:rFonts w:hint="eastAsia" w:eastAsia="仿宋_GB2312"/>
          <w:color w:val="000000"/>
          <w:sz w:val="32"/>
          <w:szCs w:val="32"/>
          <w:u w:val="single"/>
          <w:lang w:val="en-US" w:eastAsia="zh-CN"/>
        </w:rPr>
        <w:t>尔有限公司购进</w:t>
      </w:r>
      <w:r>
        <w:rPr>
          <w:rFonts w:hint="eastAsia" w:ascii="仿宋_GB2312" w:hAnsi="仿宋" w:eastAsia="仿宋_GB2312" w:cs="Mongolian Baiti"/>
          <w:sz w:val="32"/>
          <w:szCs w:val="32"/>
          <w:u w:val="single"/>
        </w:rPr>
        <w:t>标称“补肺丸”（生产企业：丽彩甘肃西蜂制药有限公司，规格：每丸重9克,10丸/板×4板，产品批号：2411009，生产日期：2024.11.17，有效期至2027.10）的药品</w:t>
      </w:r>
      <w:r>
        <w:rPr>
          <w:rFonts w:hint="eastAsia" w:ascii="仿宋_GB2312" w:hAnsi="仿宋" w:eastAsia="仿宋_GB2312" w:cs="Mongolian Baiti"/>
          <w:sz w:val="32"/>
          <w:szCs w:val="32"/>
          <w:u w:val="single"/>
          <w:lang w:val="en-US" w:eastAsia="zh-CN"/>
        </w:rPr>
        <w:t>10</w:t>
      </w:r>
      <w:r>
        <w:rPr>
          <w:rFonts w:hint="eastAsia" w:ascii="仿宋_GB2312" w:hAnsi="仿宋" w:eastAsia="仿宋_GB2312" w:cs="Mongolian Baiti"/>
          <w:sz w:val="32"/>
          <w:szCs w:val="32"/>
          <w:u w:val="single"/>
        </w:rPr>
        <w:t>盒</w:t>
      </w:r>
      <w:r>
        <w:rPr>
          <w:rFonts w:hint="eastAsia" w:ascii="仿宋_GB2312" w:hAnsi="仿宋" w:eastAsia="仿宋_GB2312" w:cs="Mongolian Baiti"/>
          <w:sz w:val="32"/>
          <w:szCs w:val="32"/>
          <w:u w:val="single"/>
          <w:lang w:eastAsia="zh-CN"/>
        </w:rPr>
        <w:t>，</w:t>
      </w:r>
      <w:r>
        <w:rPr>
          <w:rFonts w:hint="eastAsia" w:ascii="仿宋_GB2312" w:hAnsi="仿宋" w:eastAsia="仿宋_GB2312" w:cs="Mongolian Baiti"/>
          <w:sz w:val="32"/>
          <w:szCs w:val="32"/>
          <w:u w:val="single"/>
          <w:lang w:val="en-US" w:eastAsia="zh-CN"/>
        </w:rPr>
        <w:t>从2025年11月26日购进至2025年12月31日销售了8盒，剩余2盒。</w:t>
      </w:r>
      <w:r>
        <w:rPr>
          <w:rFonts w:hint="eastAsia" w:ascii="仿宋" w:hAnsi="仿宋" w:eastAsia="仿宋" w:cs="仿宋"/>
          <w:sz w:val="32"/>
          <w:szCs w:val="32"/>
          <w:u w:val="single"/>
        </w:rPr>
        <w:t>执法人员通过在电脑上查询该药店的药品销售记录，该药店2015年12月17日销售该批次药品1盒、2015年12月19日销售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批次药品2盒、2025年12月20日销售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批次药品2盒、2025年12月23日销售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w:t>
      </w:r>
      <w:r>
        <w:rPr>
          <w:rFonts w:hint="eastAsia" w:ascii="仿宋" w:hAnsi="仿宋" w:eastAsia="仿宋" w:cs="仿宋"/>
          <w:sz w:val="32"/>
          <w:szCs w:val="32"/>
          <w:u w:val="single"/>
          <w:lang w:val="en-US" w:eastAsia="zh-CN"/>
        </w:rPr>
        <w:t>次药</w:t>
      </w:r>
      <w:r>
        <w:rPr>
          <w:rFonts w:hint="eastAsia" w:ascii="仿宋" w:hAnsi="仿宋" w:eastAsia="仿宋" w:cs="仿宋"/>
          <w:sz w:val="32"/>
          <w:szCs w:val="32"/>
          <w:u w:val="single"/>
        </w:rPr>
        <w:t>品1盒、2025 年12月28日销售</w:t>
      </w:r>
      <w:r>
        <w:rPr>
          <w:rFonts w:hint="eastAsia" w:ascii="仿宋" w:hAnsi="仿宋" w:eastAsia="仿宋" w:cs="仿宋"/>
          <w:sz w:val="32"/>
          <w:szCs w:val="32"/>
          <w:u w:val="single"/>
          <w:lang w:val="en-US" w:eastAsia="zh-CN"/>
        </w:rPr>
        <w:t>该</w:t>
      </w:r>
      <w:r>
        <w:rPr>
          <w:rFonts w:hint="eastAsia" w:ascii="仿宋" w:hAnsi="仿宋" w:eastAsia="仿宋" w:cs="仿宋"/>
          <w:sz w:val="32"/>
          <w:szCs w:val="32"/>
          <w:u w:val="single"/>
        </w:rPr>
        <w:t>批次药品2盒</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共计销售该批次补肺丸8盒，五份销售凭证上标注的产品批号均为202506，与实际销售的药品的产品批号2411009不一致。执法人员在电脑</w:t>
      </w:r>
      <w:r>
        <w:rPr>
          <w:rFonts w:hint="eastAsia" w:ascii="仿宋" w:hAnsi="仿宋" w:eastAsia="仿宋" w:cs="仿宋"/>
          <w:sz w:val="32"/>
          <w:szCs w:val="32"/>
          <w:u w:val="single"/>
        </w:rPr>
        <w:t>上查询该药店东软医保进销存系统扫描药品追溯码销售记录，未发现标称“补肺丸”（生产企业：丽彩甘肃西蜂制药有限公司，规格：每丸重9克,10丸/板×4板，产品批号：2411009，生产日期：2024.11.17，有效期至2027.10）的药品的追溯信息</w:t>
      </w:r>
      <w:r>
        <w:rPr>
          <w:rFonts w:hint="eastAsia" w:ascii="仿宋_GB2312" w:hAnsi="仿宋" w:eastAsia="仿宋_GB2312" w:cs="Mongolian Baiti"/>
          <w:sz w:val="32"/>
          <w:szCs w:val="32"/>
          <w:u w:val="single"/>
          <w:lang w:val="en-US" w:eastAsia="zh-CN"/>
        </w:rPr>
        <w:t>。当事人提供了该批次补肺丸供货方的资质材料、随货同行单、电子发票。</w:t>
      </w:r>
    </w:p>
    <w:bookmarkEnd w:id="3"/>
    <w:p>
      <w:pPr>
        <w:keepNext w:val="0"/>
        <w:keepLines w:val="0"/>
        <w:pageBreakBefore w:val="0"/>
        <w:widowControl/>
        <w:kinsoku/>
        <w:wordWrap/>
        <w:overflowPunct/>
        <w:topLinePunct w:val="0"/>
        <w:bidi w:val="0"/>
        <w:snapToGrid/>
        <w:spacing w:line="540" w:lineRule="exact"/>
        <w:ind w:firstLine="640" w:firstLineChars="200"/>
        <w:jc w:val="both"/>
        <w:textAlignment w:val="auto"/>
        <w:rPr>
          <w:rFonts w:ascii="仿宋" w:hAnsi="仿宋" w:eastAsia="仿宋" w:cs="仿宋"/>
          <w:sz w:val="32"/>
          <w:szCs w:val="32"/>
        </w:rPr>
      </w:pPr>
      <w:r>
        <w:rPr>
          <w:rFonts w:hint="eastAsia" w:ascii="仿宋" w:hAnsi="仿宋" w:eastAsia="仿宋" w:cs="仿宋"/>
          <w:sz w:val="32"/>
          <w:szCs w:val="32"/>
        </w:rPr>
        <w:t>上述事实，主要有以下证据证明：</w:t>
      </w:r>
    </w:p>
    <w:p>
      <w:pPr>
        <w:keepNext w:val="0"/>
        <w:keepLines w:val="0"/>
        <w:pageBreakBefore w:val="0"/>
        <w:kinsoku/>
        <w:wordWrap/>
        <w:overflowPunct/>
        <w:topLinePunct w:val="0"/>
        <w:bidi w:val="0"/>
        <w:snapToGrid/>
        <w:spacing w:line="540" w:lineRule="exact"/>
        <w:ind w:firstLine="640" w:firstLineChars="200"/>
        <w:jc w:val="both"/>
        <w:textAlignment w:val="auto"/>
        <w:rPr>
          <w:rFonts w:ascii="仿宋" w:hAnsi="仿宋" w:eastAsia="仿宋" w:cs="仿宋"/>
          <w:sz w:val="32"/>
          <w:szCs w:val="32"/>
          <w:u w:val="single"/>
        </w:rPr>
      </w:pPr>
      <w:r>
        <w:rPr>
          <w:rFonts w:hint="eastAsia" w:ascii="仿宋" w:hAnsi="仿宋" w:eastAsia="仿宋" w:cs="仿宋"/>
          <w:sz w:val="32"/>
          <w:szCs w:val="32"/>
        </w:rPr>
        <w:t xml:space="preserve"> </w:t>
      </w:r>
      <w:r>
        <w:rPr>
          <w:rFonts w:hint="eastAsia" w:ascii="仿宋" w:hAnsi="仿宋" w:eastAsia="仿宋" w:cs="仿宋"/>
          <w:sz w:val="32"/>
          <w:szCs w:val="32"/>
          <w:u w:val="single"/>
        </w:rPr>
        <w:t>证据一：</w:t>
      </w:r>
      <w:r>
        <w:rPr>
          <w:rFonts w:hint="eastAsia" w:ascii="仿宋" w:hAnsi="仿宋" w:eastAsia="仿宋" w:cs="仿宋"/>
          <w:color w:val="333333"/>
          <w:sz w:val="32"/>
          <w:szCs w:val="32"/>
          <w:u w:val="single"/>
        </w:rPr>
        <w:t>执法人员于202</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12</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31</w:t>
      </w:r>
      <w:r>
        <w:rPr>
          <w:rFonts w:hint="eastAsia" w:ascii="仿宋" w:hAnsi="仿宋" w:eastAsia="仿宋" w:cs="仿宋"/>
          <w:color w:val="333333"/>
          <w:sz w:val="32"/>
          <w:szCs w:val="32"/>
          <w:u w:val="single"/>
        </w:rPr>
        <w:t>日制作的现场笔录一份（共</w:t>
      </w:r>
      <w:r>
        <w:rPr>
          <w:rFonts w:hint="eastAsia" w:ascii="仿宋" w:hAnsi="仿宋" w:eastAsia="仿宋" w:cs="仿宋"/>
          <w:color w:val="333333"/>
          <w:sz w:val="32"/>
          <w:szCs w:val="32"/>
          <w:u w:val="single"/>
          <w:lang w:val="en-US" w:eastAsia="zh-CN"/>
        </w:rPr>
        <w:t>4</w:t>
      </w:r>
      <w:r>
        <w:rPr>
          <w:rFonts w:hint="eastAsia" w:ascii="仿宋" w:hAnsi="仿宋" w:eastAsia="仿宋" w:cs="仿宋"/>
          <w:color w:val="333333"/>
          <w:sz w:val="32"/>
          <w:szCs w:val="32"/>
          <w:u w:val="single"/>
        </w:rPr>
        <w:t>页）</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现场照片6张，</w:t>
      </w:r>
      <w:r>
        <w:rPr>
          <w:rFonts w:hint="eastAsia" w:ascii="仿宋" w:hAnsi="仿宋" w:eastAsia="仿宋" w:cs="仿宋"/>
          <w:sz w:val="32"/>
          <w:szCs w:val="32"/>
          <w:u w:val="single"/>
        </w:rPr>
        <w:t>证明执法人员依法对相关</w:t>
      </w:r>
      <w:r>
        <w:rPr>
          <w:rFonts w:hint="eastAsia" w:ascii="仿宋" w:hAnsi="仿宋" w:eastAsia="仿宋" w:cs="仿宋"/>
          <w:sz w:val="32"/>
          <w:szCs w:val="32"/>
          <w:u w:val="single"/>
          <w:lang w:val="en-US" w:eastAsia="zh-CN"/>
        </w:rPr>
        <w:t>药</w:t>
      </w:r>
      <w:r>
        <w:rPr>
          <w:rFonts w:hint="eastAsia" w:ascii="仿宋" w:hAnsi="仿宋" w:eastAsia="仿宋" w:cs="仿宋"/>
          <w:sz w:val="32"/>
          <w:szCs w:val="32"/>
          <w:u w:val="single"/>
        </w:rPr>
        <w:t>品以及场所进行检查的情况</w:t>
      </w:r>
      <w:r>
        <w:rPr>
          <w:rFonts w:hint="eastAsia" w:ascii="仿宋" w:hAnsi="仿宋" w:eastAsia="仿宋" w:cs="仿宋"/>
          <w:color w:val="333333"/>
          <w:sz w:val="32"/>
          <w:szCs w:val="32"/>
          <w:u w:val="single"/>
        </w:rPr>
        <w:t>；</w:t>
      </w:r>
      <w:r>
        <w:rPr>
          <w:rFonts w:hint="eastAsia" w:ascii="仿宋" w:hAnsi="仿宋" w:eastAsia="仿宋" w:cs="仿宋"/>
          <w:sz w:val="32"/>
          <w:szCs w:val="32"/>
          <w:u w:val="single"/>
        </w:rPr>
        <w:t xml:space="preserve">                                         </w:t>
      </w:r>
    </w:p>
    <w:p>
      <w:pPr>
        <w:keepNext w:val="0"/>
        <w:keepLines w:val="0"/>
        <w:pageBreakBefore w:val="0"/>
        <w:widowControl/>
        <w:kinsoku/>
        <w:wordWrap/>
        <w:overflowPunct/>
        <w:topLinePunct w:val="0"/>
        <w:bidi w:val="0"/>
        <w:snapToGrid/>
        <w:spacing w:line="540" w:lineRule="exact"/>
        <w:ind w:firstLine="640"/>
        <w:jc w:val="left"/>
        <w:textAlignment w:val="auto"/>
        <w:rPr>
          <w:rFonts w:hint="default" w:ascii="仿宋" w:hAnsi="仿宋" w:eastAsia="仿宋" w:cs="仿宋"/>
          <w:color w:val="333333"/>
          <w:kern w:val="0"/>
          <w:sz w:val="32"/>
          <w:szCs w:val="32"/>
          <w:u w:val="single"/>
          <w:lang w:val="en-US" w:eastAsia="zh-CN"/>
        </w:rPr>
      </w:pPr>
      <w:r>
        <w:rPr>
          <w:rFonts w:hint="eastAsia" w:ascii="仿宋" w:hAnsi="仿宋" w:eastAsia="仿宋" w:cs="仿宋"/>
          <w:color w:val="333333"/>
          <w:kern w:val="0"/>
          <w:sz w:val="32"/>
          <w:szCs w:val="32"/>
          <w:u w:val="single"/>
        </w:rPr>
        <w:t>证据二：当事人提供的</w:t>
      </w:r>
      <w:r>
        <w:rPr>
          <w:rFonts w:hint="eastAsia" w:eastAsia="仿宋_GB2312"/>
          <w:color w:val="000000"/>
          <w:kern w:val="0"/>
          <w:sz w:val="32"/>
          <w:szCs w:val="32"/>
          <w:u w:val="single"/>
          <w:lang w:val="en-US" w:eastAsia="zh-CN"/>
        </w:rPr>
        <w:t>武作玲、徐学莲</w:t>
      </w:r>
      <w:r>
        <w:rPr>
          <w:rFonts w:hint="eastAsia" w:ascii="仿宋" w:hAnsi="仿宋" w:eastAsia="仿宋" w:cs="仿宋"/>
          <w:color w:val="333333"/>
          <w:kern w:val="0"/>
          <w:sz w:val="32"/>
          <w:szCs w:val="32"/>
          <w:u w:val="single"/>
        </w:rPr>
        <w:t>的身份证复印件</w:t>
      </w:r>
      <w:r>
        <w:rPr>
          <w:rFonts w:hint="eastAsia" w:ascii="仿宋" w:hAnsi="仿宋" w:eastAsia="仿宋" w:cs="仿宋"/>
          <w:color w:val="333333"/>
          <w:kern w:val="0"/>
          <w:sz w:val="32"/>
          <w:szCs w:val="32"/>
          <w:u w:val="single"/>
          <w:lang w:val="en-US" w:eastAsia="zh-CN"/>
        </w:rPr>
        <w:t>各</w:t>
      </w:r>
      <w:r>
        <w:rPr>
          <w:rFonts w:hint="eastAsia" w:ascii="仿宋" w:hAnsi="仿宋" w:eastAsia="仿宋" w:cs="仿宋"/>
          <w:color w:val="333333"/>
          <w:kern w:val="0"/>
          <w:sz w:val="32"/>
          <w:szCs w:val="32"/>
          <w:u w:val="single"/>
        </w:rPr>
        <w:t>一份（共</w:t>
      </w:r>
      <w:r>
        <w:rPr>
          <w:rFonts w:hint="eastAsia" w:ascii="仿宋" w:hAnsi="仿宋" w:eastAsia="仿宋" w:cs="仿宋"/>
          <w:color w:val="333333"/>
          <w:kern w:val="0"/>
          <w:sz w:val="32"/>
          <w:szCs w:val="32"/>
          <w:u w:val="single"/>
          <w:lang w:val="en-US" w:eastAsia="zh-CN"/>
        </w:rPr>
        <w:t>2</w:t>
      </w:r>
      <w:r>
        <w:rPr>
          <w:rFonts w:hint="eastAsia" w:ascii="仿宋" w:hAnsi="仿宋" w:eastAsia="仿宋" w:cs="仿宋"/>
          <w:color w:val="333333"/>
          <w:kern w:val="0"/>
          <w:sz w:val="32"/>
          <w:szCs w:val="32"/>
          <w:u w:val="single"/>
        </w:rPr>
        <w:t>页），证明了</w:t>
      </w:r>
      <w:r>
        <w:rPr>
          <w:rFonts w:hint="eastAsia" w:ascii="仿宋" w:hAnsi="仿宋" w:eastAsia="仿宋" w:cs="仿宋"/>
          <w:color w:val="333333"/>
          <w:kern w:val="0"/>
          <w:sz w:val="32"/>
          <w:szCs w:val="32"/>
          <w:u w:val="single"/>
          <w:lang w:val="en-US" w:eastAsia="zh-CN"/>
        </w:rPr>
        <w:t>法定代表人、店长</w:t>
      </w:r>
      <w:r>
        <w:rPr>
          <w:rFonts w:hint="eastAsia" w:ascii="仿宋" w:hAnsi="仿宋" w:eastAsia="仿宋" w:cs="仿宋"/>
          <w:color w:val="333333"/>
          <w:kern w:val="0"/>
          <w:sz w:val="32"/>
          <w:szCs w:val="32"/>
          <w:u w:val="single"/>
        </w:rPr>
        <w:t xml:space="preserve">的身份情况；                     </w:t>
      </w:r>
      <w:r>
        <w:rPr>
          <w:rFonts w:hint="eastAsia" w:ascii="仿宋" w:hAnsi="仿宋" w:eastAsia="仿宋" w:cs="仿宋"/>
          <w:color w:val="333333"/>
          <w:kern w:val="0"/>
          <w:sz w:val="32"/>
          <w:szCs w:val="32"/>
          <w:u w:val="single"/>
          <w:lang w:val="en-US" w:eastAsia="zh-CN"/>
        </w:rPr>
        <w:t xml:space="preserve">                     </w:t>
      </w:r>
    </w:p>
    <w:p>
      <w:pPr>
        <w:keepNext w:val="0"/>
        <w:keepLines w:val="0"/>
        <w:pageBreakBefore w:val="0"/>
        <w:widowControl/>
        <w:kinsoku/>
        <w:wordWrap/>
        <w:overflowPunct/>
        <w:topLinePunct w:val="0"/>
        <w:bidi w:val="0"/>
        <w:snapToGrid/>
        <w:spacing w:line="540" w:lineRule="exact"/>
        <w:ind w:firstLine="640"/>
        <w:jc w:val="left"/>
        <w:textAlignment w:val="auto"/>
        <w:rPr>
          <w:rFonts w:hint="default" w:ascii="仿宋" w:hAnsi="仿宋" w:eastAsia="仿宋" w:cs="仿宋"/>
          <w:color w:val="333333"/>
          <w:kern w:val="0"/>
          <w:sz w:val="32"/>
          <w:szCs w:val="32"/>
          <w:u w:val="single"/>
          <w:lang w:val="en-US" w:eastAsia="zh-CN"/>
        </w:rPr>
      </w:pPr>
      <w:r>
        <w:rPr>
          <w:rFonts w:hint="eastAsia" w:ascii="仿宋" w:hAnsi="仿宋" w:eastAsia="仿宋" w:cs="仿宋"/>
          <w:color w:val="333333"/>
          <w:kern w:val="0"/>
          <w:sz w:val="32"/>
          <w:szCs w:val="32"/>
          <w:u w:val="single"/>
        </w:rPr>
        <w:t>证据三：当事人提供的鄂伦春自治旗</w:t>
      </w:r>
      <w:r>
        <w:rPr>
          <w:rFonts w:hint="eastAsia" w:ascii="仿宋" w:hAnsi="仿宋" w:eastAsia="仿宋" w:cs="仿宋"/>
          <w:color w:val="333333"/>
          <w:kern w:val="0"/>
          <w:sz w:val="32"/>
          <w:szCs w:val="32"/>
          <w:u w:val="single"/>
          <w:lang w:val="en-US" w:eastAsia="zh-CN"/>
        </w:rPr>
        <w:t>老十药店</w:t>
      </w:r>
      <w:r>
        <w:rPr>
          <w:rFonts w:hint="eastAsia" w:ascii="仿宋" w:hAnsi="仿宋" w:eastAsia="仿宋" w:cs="仿宋"/>
          <w:color w:val="333333"/>
          <w:kern w:val="0"/>
          <w:sz w:val="32"/>
          <w:szCs w:val="32"/>
          <w:u w:val="single"/>
        </w:rPr>
        <w:t xml:space="preserve">的《营业执照》复印件一份（共1页），证明了当事人的经营主体资格；  </w:t>
      </w:r>
      <w:r>
        <w:rPr>
          <w:rFonts w:hint="eastAsia" w:ascii="仿宋" w:hAnsi="仿宋" w:eastAsia="仿宋" w:cs="仿宋"/>
          <w:color w:val="333333"/>
          <w:kern w:val="0"/>
          <w:sz w:val="32"/>
          <w:szCs w:val="32"/>
          <w:u w:val="single"/>
          <w:lang w:val="en-US" w:eastAsia="zh-CN"/>
        </w:rPr>
        <w:t xml:space="preserve">                                                </w:t>
      </w:r>
    </w:p>
    <w:p>
      <w:pPr>
        <w:keepNext w:val="0"/>
        <w:keepLines w:val="0"/>
        <w:pageBreakBefore w:val="0"/>
        <w:widowControl/>
        <w:kinsoku/>
        <w:wordWrap/>
        <w:overflowPunct/>
        <w:topLinePunct w:val="0"/>
        <w:bidi w:val="0"/>
        <w:snapToGrid/>
        <w:spacing w:line="540" w:lineRule="exact"/>
        <w:ind w:firstLine="640"/>
        <w:jc w:val="left"/>
        <w:textAlignment w:val="auto"/>
        <w:rPr>
          <w:rFonts w:hint="default" w:ascii="仿宋" w:hAnsi="仿宋" w:eastAsia="仿宋" w:cs="仿宋"/>
          <w:color w:val="333333"/>
          <w:kern w:val="0"/>
          <w:sz w:val="32"/>
          <w:szCs w:val="32"/>
          <w:u w:val="single"/>
          <w:lang w:val="en-US" w:eastAsia="zh-CN"/>
        </w:rPr>
      </w:pPr>
      <w:r>
        <w:rPr>
          <w:rFonts w:hint="eastAsia" w:ascii="仿宋" w:hAnsi="仿宋" w:eastAsia="仿宋" w:cs="仿宋"/>
          <w:color w:val="333333"/>
          <w:kern w:val="0"/>
          <w:sz w:val="32"/>
          <w:szCs w:val="32"/>
          <w:u w:val="single"/>
          <w:lang w:val="en-US" w:eastAsia="zh-CN"/>
        </w:rPr>
        <w:t xml:space="preserve">证据四：当事人提供的鄂伦春自治旗老十药店的《药品经营许可证》复印件一份，证明当事人从事药品经营行为的合法资格；                                                   </w:t>
      </w:r>
    </w:p>
    <w:p>
      <w:pPr>
        <w:keepNext w:val="0"/>
        <w:keepLines w:val="0"/>
        <w:pageBreakBefore w:val="0"/>
        <w:widowControl/>
        <w:kinsoku/>
        <w:wordWrap/>
        <w:overflowPunct/>
        <w:topLinePunct w:val="0"/>
        <w:bidi w:val="0"/>
        <w:snapToGrid/>
        <w:spacing w:line="540" w:lineRule="exact"/>
        <w:ind w:firstLine="640" w:firstLineChars="200"/>
        <w:jc w:val="left"/>
        <w:textAlignment w:val="auto"/>
        <w:rPr>
          <w:rFonts w:hint="eastAsia" w:ascii="仿宋" w:hAnsi="仿宋" w:eastAsia="仿宋" w:cs="仿宋"/>
          <w:color w:val="333333"/>
          <w:kern w:val="0"/>
          <w:sz w:val="32"/>
          <w:szCs w:val="32"/>
          <w:u w:val="single"/>
          <w:lang w:val="en-US" w:eastAsia="zh-CN"/>
        </w:rPr>
      </w:pPr>
      <w:r>
        <w:rPr>
          <w:rFonts w:hint="eastAsia" w:ascii="仿宋" w:hAnsi="仿宋" w:eastAsia="仿宋" w:cs="仿宋"/>
          <w:color w:val="333333"/>
          <w:kern w:val="0"/>
          <w:sz w:val="32"/>
          <w:szCs w:val="32"/>
          <w:u w:val="single"/>
        </w:rPr>
        <w:t>证据</w:t>
      </w:r>
      <w:r>
        <w:rPr>
          <w:rFonts w:hint="eastAsia" w:ascii="仿宋" w:hAnsi="仿宋" w:eastAsia="仿宋" w:cs="仿宋"/>
          <w:color w:val="333333"/>
          <w:kern w:val="0"/>
          <w:sz w:val="32"/>
          <w:szCs w:val="32"/>
          <w:u w:val="single"/>
          <w:lang w:val="en-US" w:eastAsia="zh-CN"/>
        </w:rPr>
        <w:t>五</w:t>
      </w:r>
      <w:r>
        <w:rPr>
          <w:rFonts w:hint="eastAsia" w:ascii="仿宋" w:hAnsi="仿宋" w:eastAsia="仿宋" w:cs="仿宋"/>
          <w:color w:val="333333"/>
          <w:kern w:val="0"/>
          <w:sz w:val="32"/>
          <w:szCs w:val="32"/>
          <w:u w:val="single"/>
        </w:rPr>
        <w:t>：202</w:t>
      </w:r>
      <w:r>
        <w:rPr>
          <w:rFonts w:hint="eastAsia" w:ascii="仿宋" w:hAnsi="仿宋" w:eastAsia="仿宋" w:cs="仿宋"/>
          <w:color w:val="333333"/>
          <w:kern w:val="0"/>
          <w:sz w:val="32"/>
          <w:szCs w:val="32"/>
          <w:u w:val="single"/>
          <w:lang w:val="en-US" w:eastAsia="zh-CN"/>
        </w:rPr>
        <w:t>5</w:t>
      </w:r>
      <w:r>
        <w:rPr>
          <w:rFonts w:hint="eastAsia" w:ascii="仿宋" w:hAnsi="仿宋" w:eastAsia="仿宋" w:cs="仿宋"/>
          <w:color w:val="333333"/>
          <w:kern w:val="0"/>
          <w:sz w:val="32"/>
          <w:szCs w:val="32"/>
          <w:u w:val="single"/>
        </w:rPr>
        <w:t>年</w:t>
      </w:r>
      <w:r>
        <w:rPr>
          <w:rFonts w:hint="eastAsia" w:ascii="仿宋" w:hAnsi="仿宋" w:eastAsia="仿宋" w:cs="仿宋"/>
          <w:color w:val="333333"/>
          <w:kern w:val="0"/>
          <w:sz w:val="32"/>
          <w:szCs w:val="32"/>
          <w:u w:val="single"/>
          <w:lang w:val="en-US" w:eastAsia="zh-CN"/>
        </w:rPr>
        <w:t>12</w:t>
      </w:r>
      <w:r>
        <w:rPr>
          <w:rFonts w:hint="eastAsia" w:ascii="仿宋" w:hAnsi="仿宋" w:eastAsia="仿宋" w:cs="仿宋"/>
          <w:color w:val="333333"/>
          <w:kern w:val="0"/>
          <w:sz w:val="32"/>
          <w:szCs w:val="32"/>
          <w:u w:val="single"/>
        </w:rPr>
        <w:t>月</w:t>
      </w:r>
      <w:r>
        <w:rPr>
          <w:rFonts w:hint="eastAsia" w:ascii="仿宋" w:hAnsi="仿宋" w:eastAsia="仿宋" w:cs="仿宋"/>
          <w:color w:val="333333"/>
          <w:kern w:val="0"/>
          <w:sz w:val="32"/>
          <w:szCs w:val="32"/>
          <w:u w:val="single"/>
          <w:lang w:val="en-US" w:eastAsia="zh-CN"/>
        </w:rPr>
        <w:t>31</w:t>
      </w:r>
      <w:r>
        <w:rPr>
          <w:rFonts w:hint="eastAsia" w:ascii="仿宋" w:hAnsi="仿宋" w:eastAsia="仿宋" w:cs="仿宋"/>
          <w:color w:val="333333"/>
          <w:kern w:val="0"/>
          <w:sz w:val="32"/>
          <w:szCs w:val="32"/>
          <w:u w:val="single"/>
        </w:rPr>
        <w:t>日对</w:t>
      </w:r>
      <w:r>
        <w:rPr>
          <w:rFonts w:hint="eastAsia" w:ascii="仿宋" w:hAnsi="仿宋" w:eastAsia="仿宋" w:cs="仿宋"/>
          <w:color w:val="333333"/>
          <w:kern w:val="0"/>
          <w:sz w:val="32"/>
          <w:szCs w:val="32"/>
          <w:u w:val="single"/>
          <w:lang w:val="en-US" w:eastAsia="zh-CN"/>
        </w:rPr>
        <w:t>店长徐学莲</w:t>
      </w:r>
      <w:r>
        <w:rPr>
          <w:rFonts w:hint="eastAsia" w:ascii="仿宋" w:hAnsi="仿宋" w:eastAsia="仿宋" w:cs="仿宋"/>
          <w:color w:val="333333"/>
          <w:kern w:val="0"/>
          <w:sz w:val="32"/>
          <w:szCs w:val="32"/>
          <w:u w:val="single"/>
        </w:rPr>
        <w:t>询问的询问笔录一份（共</w:t>
      </w:r>
      <w:r>
        <w:rPr>
          <w:rFonts w:hint="eastAsia" w:ascii="仿宋" w:hAnsi="仿宋" w:eastAsia="仿宋" w:cs="仿宋"/>
          <w:color w:val="333333"/>
          <w:kern w:val="0"/>
          <w:sz w:val="32"/>
          <w:szCs w:val="32"/>
          <w:u w:val="single"/>
          <w:lang w:val="en-US" w:eastAsia="zh-CN"/>
        </w:rPr>
        <w:t>3</w:t>
      </w:r>
      <w:r>
        <w:rPr>
          <w:rFonts w:hint="eastAsia" w:ascii="仿宋" w:hAnsi="仿宋" w:eastAsia="仿宋" w:cs="仿宋"/>
          <w:color w:val="333333"/>
          <w:kern w:val="0"/>
          <w:sz w:val="32"/>
          <w:szCs w:val="32"/>
          <w:u w:val="single"/>
        </w:rPr>
        <w:t>页），证明当事人</w:t>
      </w:r>
      <w:r>
        <w:rPr>
          <w:rFonts w:hint="eastAsia" w:ascii="仿宋" w:hAnsi="仿宋" w:eastAsia="仿宋" w:cs="仿宋"/>
          <w:color w:val="333333"/>
          <w:kern w:val="0"/>
          <w:sz w:val="32"/>
          <w:szCs w:val="32"/>
          <w:u w:val="single"/>
          <w:lang w:val="en-US" w:eastAsia="zh-CN"/>
        </w:rPr>
        <w:t>未按规定扫描药品追溯码销</w:t>
      </w:r>
    </w:p>
    <w:p>
      <w:pPr>
        <w:keepNext w:val="0"/>
        <w:keepLines w:val="0"/>
        <w:pageBreakBefore w:val="0"/>
        <w:widowControl/>
        <w:kinsoku/>
        <w:wordWrap/>
        <w:overflowPunct/>
        <w:topLinePunct w:val="0"/>
        <w:bidi w:val="0"/>
        <w:snapToGrid/>
        <w:spacing w:line="540" w:lineRule="exact"/>
        <w:jc w:val="both"/>
        <w:textAlignment w:val="auto"/>
        <w:rPr>
          <w:rFonts w:hint="default" w:ascii="仿宋" w:hAnsi="仿宋" w:eastAsia="仿宋" w:cs="仿宋"/>
          <w:sz w:val="32"/>
          <w:szCs w:val="32"/>
          <w:u w:val="single"/>
          <w:lang w:val="en-US" w:eastAsia="zh-CN"/>
        </w:rPr>
      </w:pPr>
      <w:r>
        <w:rPr>
          <w:rFonts w:hint="eastAsia" w:ascii="仿宋" w:hAnsi="仿宋" w:eastAsia="仿宋" w:cs="仿宋"/>
          <w:color w:val="333333"/>
          <w:kern w:val="0"/>
          <w:sz w:val="32"/>
          <w:szCs w:val="32"/>
          <w:u w:val="single"/>
          <w:lang w:val="en-US" w:eastAsia="zh-CN"/>
        </w:rPr>
        <w:t>售药品及销售药品时销售凭证标注的产品批号与实际销售药品的产品批号不符的违法事实</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p>
    <w:p>
      <w:pPr>
        <w:keepNext w:val="0"/>
        <w:keepLines w:val="0"/>
        <w:pageBreakBefore w:val="0"/>
        <w:kinsoku/>
        <w:wordWrap/>
        <w:overflowPunct/>
        <w:topLinePunct w:val="0"/>
        <w:bidi w:val="0"/>
        <w:snapToGrid/>
        <w:spacing w:line="540" w:lineRule="exact"/>
        <w:ind w:firstLine="640" w:firstLineChars="2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u w:val="single"/>
        </w:rPr>
        <w:t>证据</w:t>
      </w:r>
      <w:r>
        <w:rPr>
          <w:rFonts w:hint="eastAsia" w:ascii="仿宋" w:hAnsi="仿宋" w:eastAsia="仿宋" w:cs="仿宋"/>
          <w:sz w:val="32"/>
          <w:szCs w:val="32"/>
          <w:u w:val="single"/>
          <w:lang w:val="en-US" w:eastAsia="zh-CN"/>
        </w:rPr>
        <w:t>六</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呼伦贝尔市12345政务服务便民热线服务工单一份（共2页）</w:t>
      </w:r>
      <w:r>
        <w:rPr>
          <w:rFonts w:hint="eastAsia" w:ascii="仿宋" w:hAnsi="仿宋" w:eastAsia="仿宋" w:cs="仿宋"/>
          <w:sz w:val="32"/>
          <w:szCs w:val="32"/>
          <w:u w:val="single"/>
        </w:rPr>
        <w:t>，证明</w:t>
      </w:r>
      <w:r>
        <w:rPr>
          <w:rFonts w:hint="eastAsia" w:ascii="仿宋" w:hAnsi="仿宋" w:eastAsia="仿宋" w:cs="仿宋"/>
          <w:sz w:val="32"/>
          <w:szCs w:val="32"/>
          <w:u w:val="single"/>
          <w:lang w:val="en-US" w:eastAsia="zh-CN"/>
        </w:rPr>
        <w:t>案件来源</w:t>
      </w:r>
      <w:r>
        <w:rPr>
          <w:rFonts w:hint="eastAsia" w:ascii="仿宋" w:hAnsi="仿宋" w:eastAsia="仿宋" w:cs="仿宋"/>
          <w:sz w:val="32"/>
          <w:szCs w:val="32"/>
          <w:u w:val="single"/>
        </w:rPr>
        <w:t>情况</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 xml:space="preserve">                                  </w:t>
      </w:r>
    </w:p>
    <w:p>
      <w:pPr>
        <w:keepNext w:val="0"/>
        <w:keepLines w:val="0"/>
        <w:pageBreakBefore w:val="0"/>
        <w:kinsoku/>
        <w:wordWrap/>
        <w:overflowPunct/>
        <w:topLinePunct w:val="0"/>
        <w:bidi w:val="0"/>
        <w:snapToGrid/>
        <w:spacing w:line="540" w:lineRule="exact"/>
        <w:ind w:firstLine="640" w:firstLineChars="2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 xml:space="preserve">证据七：当事人提供的国药控股呼伦贝尔有限公司《营业执照》复印件一份（共1页）、国药控股呼伦贝尔有限公司《药品经营许可证》复印件一份（共1页）、国药控股呼伦贝尔有限公司（随货同行）复印件一份（共1页）、电子发票（普通发票）复印件一份（共1页），证明当事人购进涉案药品索证、索票及数量情况；                     </w:t>
      </w:r>
    </w:p>
    <w:p>
      <w:pPr>
        <w:keepNext w:val="0"/>
        <w:keepLines w:val="0"/>
        <w:pageBreakBefore w:val="0"/>
        <w:kinsoku/>
        <w:wordWrap/>
        <w:overflowPunct/>
        <w:topLinePunct w:val="0"/>
        <w:bidi w:val="0"/>
        <w:snapToGrid/>
        <w:spacing w:line="540" w:lineRule="exact"/>
        <w:ind w:firstLine="640" w:firstLineChars="2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证据八：当事人提供的采购入库单一份（共1页）、销售凭证5份（共5页），证明涉案药品入库和销售情况；</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p>
    <w:p>
      <w:pPr>
        <w:keepNext w:val="0"/>
        <w:keepLines w:val="0"/>
        <w:pageBreakBefore w:val="0"/>
        <w:kinsoku/>
        <w:wordWrap/>
        <w:overflowPunct/>
        <w:topLinePunct w:val="0"/>
        <w:bidi w:val="0"/>
        <w:snapToGrid/>
        <w:spacing w:line="540" w:lineRule="exact"/>
        <w:ind w:firstLine="640" w:firstLineChars="2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证据九：授权委托书一份，证明徐学莲为鄂伦春自治旗老十药店涉嫌未按规定扫描药品追溯码销售药品及销售药品时销售凭证标注的产品批号与实际销售药品的产品批号不符案的委托代理人。</w:t>
      </w:r>
      <w:r>
        <w:rPr>
          <w:rFonts w:hint="eastAsia" w:ascii="仿宋" w:hAnsi="仿宋" w:eastAsia="仿宋" w:cs="仿宋"/>
          <w:sz w:val="32"/>
          <w:szCs w:val="32"/>
          <w:u w:val="single"/>
        </w:rPr>
        <w:t xml:space="preserve">            </w:t>
      </w:r>
      <w:r>
        <w:rPr>
          <w:rFonts w:ascii="仿宋" w:hAnsi="仿宋" w:eastAsia="仿宋" w:cs="仿宋"/>
          <w:sz w:val="32"/>
          <w:szCs w:val="32"/>
          <w:u w:val="single"/>
        </w:rPr>
        <w:t xml:space="preserve">            </w:t>
      </w:r>
      <w:bookmarkEnd w:id="4"/>
      <w:r>
        <w:rPr>
          <w:rFonts w:hint="eastAsia" w:ascii="仿宋" w:hAnsi="仿宋" w:eastAsia="仿宋" w:cs="仿宋"/>
          <w:sz w:val="32"/>
          <w:szCs w:val="32"/>
          <w:u w:val="single"/>
          <w:lang w:val="en-US" w:eastAsia="zh-CN"/>
        </w:rPr>
        <w:t xml:space="preserve">                           </w:t>
      </w:r>
    </w:p>
    <w:p>
      <w:pPr>
        <w:keepNext w:val="0"/>
        <w:keepLines w:val="0"/>
        <w:pageBreakBefore w:val="0"/>
        <w:kinsoku/>
        <w:wordWrap/>
        <w:overflowPunct/>
        <w:topLinePunct w:val="0"/>
        <w:bidi w:val="0"/>
        <w:snapToGrid/>
        <w:spacing w:line="540" w:lineRule="exact"/>
        <w:ind w:firstLine="640" w:firstLineChars="200"/>
        <w:textAlignment w:val="auto"/>
        <w:rPr>
          <w:rFonts w:ascii="仿宋" w:hAnsi="仿宋" w:eastAsia="仿宋" w:cs="仿宋"/>
          <w:color w:val="444444"/>
          <w:kern w:val="0"/>
          <w:sz w:val="32"/>
          <w:szCs w:val="32"/>
          <w:u w:val="single"/>
        </w:rPr>
      </w:pPr>
      <w:r>
        <w:rPr>
          <w:rFonts w:hint="eastAsia" w:ascii="仿宋" w:hAnsi="仿宋" w:eastAsia="仿宋" w:cs="仿宋"/>
          <w:color w:val="444444"/>
          <w:kern w:val="0"/>
          <w:sz w:val="32"/>
          <w:szCs w:val="32"/>
          <w:u w:val="single"/>
        </w:rPr>
        <w:t xml:space="preserve">上述证据，由我局依法收集，并经当事人签名确认，具有真实性、合法性和与本案案件事实的关联性，可以作为认定案件事实的依据，我局予以采信。                        </w:t>
      </w:r>
    </w:p>
    <w:p>
      <w:pPr>
        <w:keepNext w:val="0"/>
        <w:keepLines w:val="0"/>
        <w:pageBreakBefore w:val="0"/>
        <w:kinsoku/>
        <w:wordWrap/>
        <w:overflowPunct/>
        <w:topLinePunct w:val="0"/>
        <w:bidi w:val="0"/>
        <w:snapToGrid/>
        <w:spacing w:line="540" w:lineRule="exact"/>
        <w:ind w:firstLine="640" w:firstLineChars="200"/>
        <w:textAlignment w:val="auto"/>
        <w:rPr>
          <w:rFonts w:ascii="仿宋" w:hAnsi="仿宋" w:eastAsia="仿宋" w:cs="仿宋"/>
          <w:sz w:val="32"/>
          <w:szCs w:val="32"/>
          <w:u w:val="single"/>
        </w:rPr>
      </w:pPr>
      <w:r>
        <w:rPr>
          <w:rFonts w:hint="eastAsia" w:ascii="仿宋" w:hAnsi="仿宋" w:eastAsia="仿宋" w:cs="仿宋"/>
          <w:kern w:val="0"/>
          <w:sz w:val="32"/>
          <w:szCs w:val="32"/>
          <w:u w:val="single"/>
        </w:rPr>
        <w:t>本局于202</w:t>
      </w:r>
      <w:r>
        <w:rPr>
          <w:rFonts w:hint="eastAsia" w:ascii="仿宋" w:hAnsi="仿宋" w:eastAsia="仿宋" w:cs="仿宋"/>
          <w:kern w:val="0"/>
          <w:sz w:val="32"/>
          <w:szCs w:val="32"/>
          <w:u w:val="single"/>
          <w:lang w:val="en-US" w:eastAsia="zh-CN"/>
        </w:rPr>
        <w:t>6</w:t>
      </w:r>
      <w:r>
        <w:rPr>
          <w:rFonts w:hint="eastAsia" w:ascii="仿宋" w:hAnsi="仿宋" w:eastAsia="仿宋" w:cs="仿宋"/>
          <w:kern w:val="0"/>
          <w:sz w:val="32"/>
          <w:szCs w:val="32"/>
          <w:u w:val="single"/>
        </w:rPr>
        <w:t>年</w:t>
      </w:r>
      <w:r>
        <w:rPr>
          <w:rFonts w:hint="eastAsia" w:ascii="仿宋" w:hAnsi="仿宋" w:eastAsia="仿宋" w:cs="仿宋"/>
          <w:kern w:val="0"/>
          <w:sz w:val="32"/>
          <w:szCs w:val="32"/>
          <w:u w:val="single"/>
          <w:lang w:val="en-US" w:eastAsia="zh-CN"/>
        </w:rPr>
        <w:t>01</w:t>
      </w:r>
      <w:r>
        <w:rPr>
          <w:rFonts w:hint="eastAsia" w:ascii="仿宋" w:hAnsi="仿宋" w:eastAsia="仿宋" w:cs="仿宋"/>
          <w:kern w:val="0"/>
          <w:sz w:val="32"/>
          <w:szCs w:val="32"/>
          <w:u w:val="single"/>
        </w:rPr>
        <w:t>月</w:t>
      </w:r>
      <w:r>
        <w:rPr>
          <w:rFonts w:hint="eastAsia" w:ascii="仿宋" w:hAnsi="仿宋" w:eastAsia="仿宋" w:cs="仿宋"/>
          <w:kern w:val="0"/>
          <w:sz w:val="32"/>
          <w:szCs w:val="32"/>
          <w:u w:val="single"/>
          <w:lang w:val="en-US" w:eastAsia="zh-CN"/>
        </w:rPr>
        <w:t>12</w:t>
      </w:r>
      <w:r>
        <w:rPr>
          <w:rFonts w:hint="eastAsia" w:ascii="仿宋" w:hAnsi="仿宋" w:eastAsia="仿宋" w:cs="仿宋"/>
          <w:kern w:val="0"/>
          <w:sz w:val="32"/>
          <w:szCs w:val="32"/>
          <w:u w:val="single"/>
        </w:rPr>
        <w:t>日向当事人送达了鄂市监综</w:t>
      </w:r>
      <w:r>
        <w:rPr>
          <w:rFonts w:hint="eastAsia" w:ascii="仿宋" w:hAnsi="仿宋" w:eastAsia="仿宋" w:cs="仿宋"/>
          <w:kern w:val="0"/>
          <w:sz w:val="32"/>
          <w:szCs w:val="32"/>
          <w:u w:val="single"/>
          <w:lang w:val="en-US" w:eastAsia="zh-CN"/>
        </w:rPr>
        <w:t>药</w:t>
      </w:r>
      <w:r>
        <w:rPr>
          <w:rFonts w:hint="eastAsia" w:ascii="仿宋" w:hAnsi="仿宋" w:eastAsia="仿宋" w:cs="仿宋"/>
          <w:kern w:val="0"/>
          <w:sz w:val="32"/>
          <w:szCs w:val="32"/>
          <w:u w:val="single"/>
        </w:rPr>
        <w:t>罚告[202</w:t>
      </w:r>
      <w:r>
        <w:rPr>
          <w:rFonts w:hint="eastAsia" w:ascii="仿宋" w:hAnsi="仿宋" w:eastAsia="仿宋" w:cs="仿宋"/>
          <w:kern w:val="0"/>
          <w:sz w:val="32"/>
          <w:szCs w:val="32"/>
          <w:u w:val="single"/>
          <w:lang w:val="en-US" w:eastAsia="zh-CN"/>
        </w:rPr>
        <w:t>6</w:t>
      </w:r>
      <w:r>
        <w:rPr>
          <w:rFonts w:hint="eastAsia" w:ascii="仿宋" w:hAnsi="仿宋" w:eastAsia="仿宋" w:cs="仿宋"/>
          <w:kern w:val="0"/>
          <w:sz w:val="32"/>
          <w:szCs w:val="32"/>
          <w:u w:val="single"/>
        </w:rPr>
        <w:t>]</w:t>
      </w:r>
      <w:r>
        <w:rPr>
          <w:rFonts w:hint="eastAsia" w:ascii="仿宋" w:hAnsi="仿宋" w:eastAsia="仿宋" w:cs="仿宋"/>
          <w:kern w:val="0"/>
          <w:sz w:val="32"/>
          <w:szCs w:val="32"/>
          <w:u w:val="single"/>
          <w:lang w:val="en-US" w:eastAsia="zh-CN"/>
        </w:rPr>
        <w:t>01</w:t>
      </w:r>
      <w:r>
        <w:rPr>
          <w:rFonts w:hint="eastAsia" w:ascii="仿宋" w:hAnsi="仿宋" w:eastAsia="仿宋" w:cs="仿宋"/>
          <w:kern w:val="0"/>
          <w:sz w:val="32"/>
          <w:szCs w:val="32"/>
          <w:u w:val="single"/>
        </w:rPr>
        <w:t>号《行政处罚告知书》，</w:t>
      </w:r>
      <w:r>
        <w:rPr>
          <w:rFonts w:hint="eastAsia" w:ascii="仿宋" w:hAnsi="仿宋" w:eastAsia="仿宋" w:cs="仿宋"/>
          <w:color w:val="525353"/>
          <w:sz w:val="32"/>
          <w:szCs w:val="32"/>
          <w:u w:val="single"/>
          <w:shd w:val="clear" w:color="auto" w:fill="FFFFFF"/>
        </w:rPr>
        <w:t>将拟作出行政处罚的事实、理由、依据、处罚内容及其享有的权利告知了当事人，</w:t>
      </w:r>
      <w:r>
        <w:rPr>
          <w:rFonts w:hint="eastAsia" w:ascii="仿宋" w:hAnsi="仿宋" w:eastAsia="仿宋" w:cs="仿宋"/>
          <w:kern w:val="0"/>
          <w:sz w:val="32"/>
          <w:szCs w:val="32"/>
          <w:u w:val="single"/>
        </w:rPr>
        <w:t>当事</w:t>
      </w:r>
      <w:r>
        <w:rPr>
          <w:rFonts w:hint="eastAsia" w:ascii="仿宋" w:hAnsi="仿宋" w:eastAsia="仿宋" w:cs="仿宋"/>
          <w:color w:val="000000"/>
          <w:kern w:val="0"/>
          <w:sz w:val="32"/>
          <w:szCs w:val="32"/>
          <w:u w:val="single"/>
        </w:rPr>
        <w:t>人在法定期限内未提出异议也未向我局做出陈述、申辩。</w:t>
      </w:r>
    </w:p>
    <w:p>
      <w:pPr>
        <w:keepNext w:val="0"/>
        <w:keepLines w:val="0"/>
        <w:pageBreakBefore w:val="0"/>
        <w:widowControl/>
        <w:shd w:val="clear" w:color="auto" w:fill="FFFFFF"/>
        <w:kinsoku/>
        <w:wordWrap/>
        <w:overflowPunct/>
        <w:topLinePunct w:val="0"/>
        <w:bidi w:val="0"/>
        <w:snapToGrid/>
        <w:spacing w:before="225" w:line="540" w:lineRule="exact"/>
        <w:ind w:firstLine="640" w:firstLineChars="200"/>
        <w:jc w:val="left"/>
        <w:textAlignment w:val="auto"/>
        <w:rPr>
          <w:rFonts w:hint="eastAsia" w:ascii="仿宋" w:hAnsi="仿宋" w:eastAsia="仿宋" w:cs="宋体"/>
          <w:color w:val="333333"/>
          <w:kern w:val="0"/>
          <w:sz w:val="32"/>
          <w:szCs w:val="32"/>
          <w:u w:val="single"/>
          <w:lang w:val="en-US" w:eastAsia="zh-CN"/>
        </w:rPr>
      </w:pPr>
      <w:r>
        <w:rPr>
          <w:rFonts w:hint="eastAsia" w:ascii="仿宋" w:hAnsi="仿宋" w:eastAsia="仿宋" w:cs="仿宋"/>
          <w:color w:val="000000"/>
          <w:sz w:val="32"/>
          <w:szCs w:val="32"/>
        </w:rPr>
        <w:t>本局认为，</w:t>
      </w:r>
      <w:bookmarkStart w:id="5" w:name="_Hlk142042238"/>
      <w:r>
        <w:rPr>
          <w:rFonts w:hint="eastAsia" w:ascii="仿宋" w:hAnsi="仿宋" w:eastAsia="仿宋" w:cs="仿宋"/>
          <w:color w:val="000000"/>
          <w:sz w:val="32"/>
          <w:szCs w:val="32"/>
          <w:u w:val="single"/>
        </w:rPr>
        <w:t>当事人</w:t>
      </w:r>
      <w:r>
        <w:rPr>
          <w:rFonts w:hint="eastAsia" w:ascii="仿宋" w:hAnsi="仿宋" w:eastAsia="仿宋" w:cs="仿宋"/>
          <w:color w:val="000000"/>
          <w:sz w:val="32"/>
          <w:szCs w:val="32"/>
          <w:u w:val="single"/>
          <w:lang w:val="en-US" w:eastAsia="zh-CN"/>
        </w:rPr>
        <w:t>未按规定扫描药品追溯码销售药品及销售药品时开具的销售凭证标注的产品批号与实际销售药品的产品批号不一致的行为，违反了《中华人民共和国药品管理法》第三十六条：“</w:t>
      </w:r>
      <w:r>
        <w:rPr>
          <w:rFonts w:hint="eastAsia" w:ascii="仿宋" w:hAnsi="仿宋" w:eastAsia="仿宋" w:cs="仿宋"/>
          <w:i w:val="0"/>
          <w:iCs w:val="0"/>
          <w:caps w:val="0"/>
          <w:color w:val="000000"/>
          <w:spacing w:val="0"/>
          <w:sz w:val="32"/>
          <w:szCs w:val="32"/>
          <w:u w:val="single"/>
        </w:rPr>
        <w:t>药品上市许可持有人、药品生产企业、药品经营企业和医疗机构应当建立并实施药品追溯制度，按照规定提供追溯信息，保证药品可追溯。</w:t>
      </w:r>
      <w:r>
        <w:rPr>
          <w:rFonts w:hint="eastAsia" w:ascii="仿宋" w:hAnsi="仿宋" w:eastAsia="仿宋" w:cs="仿宋"/>
          <w:i w:val="0"/>
          <w:iCs w:val="0"/>
          <w:caps w:val="0"/>
          <w:color w:val="000000"/>
          <w:spacing w:val="0"/>
          <w:sz w:val="32"/>
          <w:szCs w:val="32"/>
          <w:u w:val="single"/>
          <w:lang w:eastAsia="zh-CN"/>
        </w:rPr>
        <w:t>”</w:t>
      </w:r>
      <w:r>
        <w:rPr>
          <w:rFonts w:hint="eastAsia" w:ascii="仿宋" w:hAnsi="仿宋" w:eastAsia="仿宋" w:cs="仿宋"/>
          <w:color w:val="000000"/>
          <w:sz w:val="32"/>
          <w:szCs w:val="32"/>
          <w:u w:val="single"/>
          <w:lang w:val="en-US" w:eastAsia="zh-CN"/>
        </w:rPr>
        <w:t>《中华人民共和国药品管理法》第五十三条第一款：“</w:t>
      </w:r>
      <w:r>
        <w:rPr>
          <w:rFonts w:hint="eastAsia" w:ascii="仿宋" w:hAnsi="仿宋" w:eastAsia="仿宋" w:cs="仿宋"/>
          <w:i w:val="0"/>
          <w:iCs w:val="0"/>
          <w:caps w:val="0"/>
          <w:color w:val="000000"/>
          <w:spacing w:val="0"/>
          <w:sz w:val="32"/>
          <w:szCs w:val="32"/>
          <w:u w:val="single"/>
        </w:rPr>
        <w:t>从事药品经营活动，应当遵守药品经营质量管理规范，建立健全药品经营质量管理体系，保证药品经营全过程持续符合法定要求。</w:t>
      </w:r>
      <w:r>
        <w:rPr>
          <w:rFonts w:hint="eastAsia" w:ascii="仿宋" w:hAnsi="仿宋" w:eastAsia="仿宋" w:cs="仿宋"/>
          <w:i w:val="0"/>
          <w:iCs w:val="0"/>
          <w:caps w:val="0"/>
          <w:color w:val="000000"/>
          <w:spacing w:val="0"/>
          <w:sz w:val="32"/>
          <w:szCs w:val="32"/>
          <w:u w:val="single"/>
          <w:lang w:eastAsia="zh-CN"/>
        </w:rPr>
        <w:t>”</w:t>
      </w:r>
      <w:r>
        <w:rPr>
          <w:rFonts w:hint="eastAsia" w:ascii="仿宋" w:hAnsi="仿宋" w:eastAsia="仿宋" w:cs="仿宋"/>
          <w:color w:val="000000"/>
          <w:sz w:val="32"/>
          <w:szCs w:val="32"/>
          <w:u w:val="single"/>
          <w:lang w:val="en-US" w:eastAsia="zh-CN"/>
        </w:rPr>
        <w:t>《中华人民共和国药品管理法》第五十七条：“</w:t>
      </w:r>
      <w:r>
        <w:rPr>
          <w:rFonts w:hint="eastAsia" w:ascii="仿宋" w:hAnsi="仿宋" w:eastAsia="仿宋" w:cs="仿宋"/>
          <w:i w:val="0"/>
          <w:iCs w:val="0"/>
          <w:caps w:val="0"/>
          <w:color w:val="000000"/>
          <w:spacing w:val="0"/>
          <w:sz w:val="32"/>
          <w:szCs w:val="32"/>
          <w:u w:val="single"/>
        </w:rPr>
        <w:t>药品经营企业购销药品，应当有真实、完整的购销记录。购销记录应当注明药品的通用名称、剂型、规格、产品批号、有效期、上市许可持有人、生产企业、购销单位、购销数量、购销价格、购销日期及国务院药品监督管理部门规定的其他内容。</w:t>
      </w:r>
      <w:r>
        <w:rPr>
          <w:rFonts w:hint="eastAsia" w:ascii="仿宋" w:hAnsi="仿宋" w:eastAsia="仿宋" w:cs="仿宋"/>
          <w:i w:val="0"/>
          <w:iCs w:val="0"/>
          <w:caps w:val="0"/>
          <w:color w:val="000000"/>
          <w:spacing w:val="0"/>
          <w:sz w:val="32"/>
          <w:szCs w:val="32"/>
          <w:u w:val="single"/>
          <w:lang w:eastAsia="zh-CN"/>
        </w:rPr>
        <w:t>”《</w:t>
      </w:r>
      <w:r>
        <w:rPr>
          <w:rFonts w:hint="eastAsia" w:ascii="仿宋" w:hAnsi="仿宋" w:eastAsia="仿宋" w:cs="仿宋"/>
          <w:i w:val="0"/>
          <w:iCs w:val="0"/>
          <w:caps w:val="0"/>
          <w:color w:val="000000"/>
          <w:spacing w:val="0"/>
          <w:sz w:val="32"/>
          <w:szCs w:val="32"/>
          <w:u w:val="single"/>
          <w:lang w:val="en-US" w:eastAsia="zh-CN"/>
        </w:rPr>
        <w:t>药品经营质量管理规范》第一百三十九条：”</w:t>
      </w:r>
      <w:r>
        <w:rPr>
          <w:rFonts w:hint="eastAsia" w:ascii="仿宋" w:hAnsi="仿宋" w:eastAsia="仿宋" w:cs="仿宋"/>
          <w:i w:val="0"/>
          <w:iCs w:val="0"/>
          <w:caps w:val="0"/>
          <w:color w:val="333333"/>
          <w:spacing w:val="0"/>
          <w:sz w:val="32"/>
          <w:szCs w:val="32"/>
          <w:u w:val="single"/>
          <w:shd w:val="clear" w:fill="FFFFFF"/>
        </w:rPr>
        <w:t>企业应当建立药品采购、验收、销售、陈列检查、温湿度监测、不合格药品处理等相关记录，做到真实、完整、准确、有效和可追溯。</w:t>
      </w:r>
      <w:r>
        <w:rPr>
          <w:rFonts w:hint="eastAsia" w:ascii="仿宋" w:hAnsi="仿宋" w:eastAsia="仿宋" w:cs="仿宋"/>
          <w:i w:val="0"/>
          <w:iCs w:val="0"/>
          <w:caps w:val="0"/>
          <w:color w:val="333333"/>
          <w:spacing w:val="0"/>
          <w:sz w:val="32"/>
          <w:szCs w:val="32"/>
          <w:u w:val="single"/>
          <w:shd w:val="clear" w:fill="FFFFFF"/>
          <w:lang w:eastAsia="zh-CN"/>
        </w:rPr>
        <w:t>”</w:t>
      </w:r>
      <w:r>
        <w:rPr>
          <w:rFonts w:hint="eastAsia" w:ascii="仿宋" w:hAnsi="仿宋" w:eastAsia="仿宋" w:cs="仿宋"/>
          <w:i w:val="0"/>
          <w:iCs w:val="0"/>
          <w:caps w:val="0"/>
          <w:color w:val="000000"/>
          <w:spacing w:val="0"/>
          <w:sz w:val="32"/>
          <w:szCs w:val="32"/>
          <w:u w:val="single"/>
          <w:lang w:eastAsia="zh-CN"/>
        </w:rPr>
        <w:t>《</w:t>
      </w:r>
      <w:r>
        <w:rPr>
          <w:rFonts w:hint="eastAsia" w:ascii="仿宋" w:hAnsi="仿宋" w:eastAsia="仿宋" w:cs="仿宋"/>
          <w:i w:val="0"/>
          <w:iCs w:val="0"/>
          <w:caps w:val="0"/>
          <w:color w:val="000000"/>
          <w:spacing w:val="0"/>
          <w:sz w:val="32"/>
          <w:szCs w:val="32"/>
          <w:u w:val="single"/>
          <w:lang w:val="en-US" w:eastAsia="zh-CN"/>
        </w:rPr>
        <w:t>药品经营质量管理规范》第一百四十一条：“</w:t>
      </w:r>
      <w:r>
        <w:rPr>
          <w:rFonts w:hint="eastAsia" w:ascii="仿宋" w:hAnsi="仿宋" w:eastAsia="仿宋" w:cs="仿宋"/>
          <w:i w:val="0"/>
          <w:iCs w:val="0"/>
          <w:caps w:val="0"/>
          <w:color w:val="333333"/>
          <w:spacing w:val="0"/>
          <w:sz w:val="32"/>
          <w:szCs w:val="32"/>
          <w:u w:val="single"/>
          <w:shd w:val="clear" w:fill="FFFFFF"/>
        </w:rPr>
        <w:t>通过计算机系统记录数据时，相关岗位人员应当按照操作规程，通过授权及密码登录计算机系统，进行数据的录入，保证数据原始、真实、准确、安全和可追溯。</w:t>
      </w:r>
      <w:r>
        <w:rPr>
          <w:rFonts w:hint="eastAsia" w:ascii="仿宋" w:hAnsi="仿宋" w:eastAsia="仿宋" w:cs="仿宋"/>
          <w:i w:val="0"/>
          <w:iCs w:val="0"/>
          <w:caps w:val="0"/>
          <w:color w:val="333333"/>
          <w:spacing w:val="0"/>
          <w:sz w:val="32"/>
          <w:szCs w:val="32"/>
          <w:u w:val="single"/>
          <w:shd w:val="clear" w:fill="FFFFFF"/>
          <w:lang w:eastAsia="zh-CN"/>
        </w:rPr>
        <w:t>”</w:t>
      </w:r>
      <w:r>
        <w:rPr>
          <w:rFonts w:hint="eastAsia" w:ascii="仿宋" w:hAnsi="仿宋" w:eastAsia="仿宋" w:cs="仿宋"/>
          <w:i w:val="0"/>
          <w:iCs w:val="0"/>
          <w:caps w:val="0"/>
          <w:color w:val="000000"/>
          <w:spacing w:val="0"/>
          <w:sz w:val="32"/>
          <w:szCs w:val="32"/>
          <w:u w:val="single"/>
          <w:lang w:eastAsia="zh-CN"/>
        </w:rPr>
        <w:t>《</w:t>
      </w:r>
      <w:r>
        <w:rPr>
          <w:rFonts w:hint="eastAsia" w:ascii="仿宋" w:hAnsi="仿宋" w:eastAsia="仿宋" w:cs="仿宋"/>
          <w:i w:val="0"/>
          <w:iCs w:val="0"/>
          <w:caps w:val="0"/>
          <w:color w:val="000000"/>
          <w:spacing w:val="0"/>
          <w:sz w:val="32"/>
          <w:szCs w:val="32"/>
          <w:u w:val="single"/>
          <w:lang w:val="en-US" w:eastAsia="zh-CN"/>
        </w:rPr>
        <w:t>药品经营质量管理规范》第一百六十八条：“</w:t>
      </w:r>
      <w:r>
        <w:rPr>
          <w:rFonts w:hint="eastAsia" w:ascii="仿宋" w:hAnsi="仿宋" w:eastAsia="仿宋" w:cs="仿宋"/>
          <w:i w:val="0"/>
          <w:iCs w:val="0"/>
          <w:caps w:val="0"/>
          <w:color w:val="333333"/>
          <w:spacing w:val="0"/>
          <w:sz w:val="32"/>
          <w:szCs w:val="32"/>
          <w:u w:val="single"/>
          <w:shd w:val="clear" w:fill="FFFFFF"/>
        </w:rPr>
        <w:t>企业销售药品应当开具销售凭证，内容包括药品名称、生产厂商、数量、价格、批号、规格等，并做好销售记录。</w:t>
      </w:r>
      <w:r>
        <w:rPr>
          <w:rFonts w:hint="eastAsia" w:ascii="仿宋" w:hAnsi="仿宋" w:eastAsia="仿宋" w:cs="仿宋"/>
          <w:i w:val="0"/>
          <w:iCs w:val="0"/>
          <w:caps w:val="0"/>
          <w:color w:val="333333"/>
          <w:spacing w:val="0"/>
          <w:sz w:val="32"/>
          <w:szCs w:val="32"/>
          <w:u w:val="single"/>
          <w:shd w:val="clear" w:fill="FFFFFF"/>
          <w:lang w:eastAsia="zh-CN"/>
        </w:rPr>
        <w:t>”《</w:t>
      </w:r>
      <w:r>
        <w:rPr>
          <w:rFonts w:hint="eastAsia" w:ascii="仿宋" w:hAnsi="仿宋" w:eastAsia="仿宋" w:cs="仿宋"/>
          <w:i w:val="0"/>
          <w:iCs w:val="0"/>
          <w:caps w:val="0"/>
          <w:color w:val="333333"/>
          <w:spacing w:val="0"/>
          <w:sz w:val="32"/>
          <w:szCs w:val="32"/>
          <w:u w:val="single"/>
          <w:shd w:val="clear" w:fill="FFFFFF"/>
          <w:lang w:val="en-US" w:eastAsia="zh-CN"/>
        </w:rPr>
        <w:t>药品经营和使用质量监督管理办法》第四十二条第三款：“</w:t>
      </w:r>
      <w:r>
        <w:rPr>
          <w:rFonts w:hint="eastAsia" w:ascii="仿宋" w:hAnsi="仿宋" w:eastAsia="仿宋" w:cs="宋体"/>
          <w:color w:val="333333"/>
          <w:kern w:val="0"/>
          <w:sz w:val="32"/>
          <w:szCs w:val="32"/>
          <w:u w:val="single"/>
        </w:rPr>
        <w:t>药品零售企业销售药品时，应当开具标明药品通用名称、药品上市许可持有人（中药饮片标明生产企业、产地）、产品批号、剂型、规格、销售数量、销售价格、销售日期、销售企业名称等内容的凭证。</w:t>
      </w:r>
      <w:r>
        <w:rPr>
          <w:rFonts w:hint="eastAsia" w:ascii="仿宋" w:hAnsi="仿宋" w:eastAsia="仿宋" w:cs="宋体"/>
          <w:color w:val="333333"/>
          <w:kern w:val="0"/>
          <w:sz w:val="32"/>
          <w:szCs w:val="32"/>
          <w:u w:val="single"/>
          <w:lang w:eastAsia="zh-CN"/>
        </w:rPr>
        <w:t>”</w:t>
      </w:r>
      <w:r>
        <w:rPr>
          <w:rFonts w:hint="eastAsia" w:ascii="仿宋" w:hAnsi="仿宋" w:eastAsia="仿宋" w:cs="宋体"/>
          <w:color w:val="333333"/>
          <w:kern w:val="0"/>
          <w:sz w:val="32"/>
          <w:szCs w:val="32"/>
          <w:u w:val="single"/>
          <w:lang w:val="en-US" w:eastAsia="zh-CN"/>
        </w:rPr>
        <w:t>的规定。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40" w:lineRule="exact"/>
        <w:ind w:right="0" w:firstLine="640" w:firstLineChars="200"/>
        <w:jc w:val="both"/>
        <w:textAlignment w:val="auto"/>
        <w:rPr>
          <w:rFonts w:hint="default" w:ascii="仿宋" w:hAnsi="仿宋" w:eastAsia="仿宋" w:cs="仿宋"/>
          <w:color w:val="000000"/>
          <w:sz w:val="32"/>
          <w:szCs w:val="32"/>
          <w:u w:val="single"/>
          <w:lang w:val="en-US" w:eastAsia="zh-CN"/>
        </w:rPr>
      </w:pPr>
      <w:r>
        <w:rPr>
          <w:rFonts w:hint="eastAsia" w:ascii="仿宋" w:hAnsi="仿宋" w:eastAsia="仿宋" w:cs="宋体"/>
          <w:color w:val="333333"/>
          <w:kern w:val="0"/>
          <w:sz w:val="32"/>
          <w:szCs w:val="32"/>
          <w:u w:val="single"/>
          <w:lang w:val="en-US" w:eastAsia="zh-CN"/>
        </w:rPr>
        <w:t>依据</w:t>
      </w:r>
      <w:r>
        <w:rPr>
          <w:rFonts w:hint="eastAsia" w:ascii="仿宋" w:hAnsi="仿宋" w:eastAsia="仿宋" w:cs="仿宋"/>
          <w:color w:val="000000"/>
          <w:sz w:val="32"/>
          <w:szCs w:val="32"/>
          <w:u w:val="single"/>
          <w:lang w:val="en-US" w:eastAsia="zh-CN"/>
        </w:rPr>
        <w:t>《药品经营和使用质量监督管理办法》第七十一条：“</w:t>
      </w:r>
      <w:r>
        <w:rPr>
          <w:rFonts w:hint="eastAsia" w:ascii="仿宋" w:hAnsi="仿宋" w:eastAsia="仿宋" w:cs="宋体"/>
          <w:color w:val="333333"/>
          <w:kern w:val="0"/>
          <w:sz w:val="32"/>
          <w:szCs w:val="32"/>
          <w:u w:val="single"/>
        </w:rPr>
        <w:t>药品上市许可持有人、药品经营企业未按本办法第三十八条、第三十九条、第四十条、第四十二条第三款规定履行购销查验义务或者开具销售凭证，违反药品经营质量管理规范的，药品监督管理部门按照《药品管理法》第一百二十六条给予处罚。</w:t>
      </w:r>
      <w:r>
        <w:rPr>
          <w:rFonts w:hint="eastAsia" w:ascii="仿宋" w:hAnsi="仿宋" w:eastAsia="仿宋" w:cs="宋体"/>
          <w:color w:val="333333"/>
          <w:kern w:val="0"/>
          <w:sz w:val="32"/>
          <w:szCs w:val="32"/>
          <w:u w:val="single"/>
          <w:lang w:eastAsia="zh-CN"/>
        </w:rPr>
        <w:t>”</w:t>
      </w:r>
      <w:r>
        <w:rPr>
          <w:rFonts w:hint="eastAsia" w:ascii="仿宋" w:hAnsi="仿宋" w:eastAsia="仿宋" w:cs="宋体"/>
          <w:color w:val="333333"/>
          <w:kern w:val="0"/>
          <w:sz w:val="32"/>
          <w:szCs w:val="32"/>
          <w:u w:val="single"/>
          <w:lang w:val="en-US" w:eastAsia="zh-CN"/>
        </w:rPr>
        <w:t>及</w:t>
      </w:r>
      <w:r>
        <w:rPr>
          <w:rFonts w:hint="eastAsia" w:ascii="仿宋" w:hAnsi="仿宋" w:eastAsia="仿宋" w:cs="仿宋"/>
          <w:color w:val="000000"/>
          <w:sz w:val="32"/>
          <w:szCs w:val="32"/>
          <w:u w:val="single"/>
          <w:lang w:val="en-US" w:eastAsia="zh-CN"/>
        </w:rPr>
        <w:t>《中华人民共和国药品管理法》第一百二十六条：“</w:t>
      </w:r>
      <w:r>
        <w:rPr>
          <w:rFonts w:hint="eastAsia" w:ascii="仿宋" w:hAnsi="仿宋" w:eastAsia="仿宋" w:cs="仿宋"/>
          <w:i w:val="0"/>
          <w:iCs w:val="0"/>
          <w:caps w:val="0"/>
          <w:color w:val="000000"/>
          <w:spacing w:val="0"/>
          <w:sz w:val="32"/>
          <w:szCs w:val="32"/>
          <w:u w:val="single"/>
        </w:rPr>
        <w:t>除本法另有规定的情形外，药品上市许可持有人、药品生产企业、药品经营企业、药物非临床安全性评价研究机构、药物临床试验机构等未遵守药品生产质量管理规范、药品经营质量管理规范、药物非临床研究质量管理规范、药物临床试验质量管理规范等的，责令限期改正，给予警告；逾期不改正的，处十万元以上五十万元以下的罚款；情节严重的，处五十万元以上二百万元以下的罚款，责令停产停业整顿直至吊销药品批准证明文件、药品生产许可证、药品经营许可证等，药物非临床安全性评价研究机构、药物临床试验机构等五年内不得开展药物非临床安全性评价研究、药物临床试验，对法定代表人、主要负责人、直接负责的主管人员和其他责任人员，没收违法行为发生期间自本单位所获收入，并处所获收入百分之十以上百分之五十以下的罚款，十年直至终身禁止从事药品生产经营等活动。</w:t>
      </w:r>
      <w:r>
        <w:rPr>
          <w:rFonts w:hint="eastAsia" w:ascii="仿宋" w:hAnsi="仿宋" w:eastAsia="仿宋" w:cs="仿宋"/>
          <w:i w:val="0"/>
          <w:iCs w:val="0"/>
          <w:caps w:val="0"/>
          <w:color w:val="000000"/>
          <w:spacing w:val="0"/>
          <w:sz w:val="32"/>
          <w:szCs w:val="32"/>
          <w:u w:val="single"/>
          <w:lang w:eastAsia="zh-CN"/>
        </w:rPr>
        <w:t>”</w:t>
      </w:r>
      <w:r>
        <w:rPr>
          <w:rFonts w:hint="eastAsia" w:ascii="仿宋" w:hAnsi="仿宋" w:eastAsia="仿宋" w:cs="仿宋"/>
          <w:i w:val="0"/>
          <w:iCs w:val="0"/>
          <w:caps w:val="0"/>
          <w:color w:val="000000"/>
          <w:spacing w:val="0"/>
          <w:sz w:val="32"/>
          <w:szCs w:val="32"/>
          <w:u w:val="single"/>
          <w:lang w:val="en-US" w:eastAsia="zh-CN"/>
        </w:rPr>
        <w:t>的规定，予以处罚。</w:t>
      </w:r>
    </w:p>
    <w:p>
      <w:pPr>
        <w:pStyle w:val="4"/>
        <w:keepNext w:val="0"/>
        <w:keepLines w:val="0"/>
        <w:pageBreakBefore w:val="0"/>
        <w:widowControl/>
        <w:kinsoku/>
        <w:wordWrap/>
        <w:overflowPunct/>
        <w:topLinePunct w:val="0"/>
        <w:bidi w:val="0"/>
        <w:snapToGrid/>
        <w:spacing w:before="0" w:beforeAutospacing="0" w:after="0" w:afterAutospacing="0" w:line="540" w:lineRule="exact"/>
        <w:ind w:firstLine="640" w:firstLineChars="200"/>
        <w:textAlignment w:val="auto"/>
        <w:rPr>
          <w:rFonts w:hint="eastAsia" w:ascii="仿宋" w:hAnsi="仿宋" w:eastAsia="仿宋" w:cs="仿宋"/>
          <w:color w:val="525353"/>
          <w:sz w:val="32"/>
          <w:szCs w:val="32"/>
          <w:u w:val="single"/>
          <w:shd w:val="clear" w:color="auto" w:fill="FFFFFF"/>
        </w:rPr>
      </w:pPr>
      <w:r>
        <w:rPr>
          <w:rFonts w:hint="eastAsia" w:hAnsi="仿宋_GB2312" w:eastAsia="仿宋_GB2312" w:cs="仿宋_GB2312"/>
          <w:bCs/>
          <w:sz w:val="32"/>
          <w:szCs w:val="32"/>
        </w:rPr>
        <w:t>综上，</w:t>
      </w:r>
      <w:r>
        <w:rPr>
          <w:rFonts w:hint="eastAsia" w:ascii="仿宋" w:hAnsi="仿宋" w:eastAsia="仿宋" w:cs="仿宋"/>
          <w:spacing w:val="-9"/>
          <w:sz w:val="32"/>
          <w:szCs w:val="32"/>
        </w:rPr>
        <w:t>当事人上述行为违反了</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中华人民共和国药品管理法</w:t>
      </w:r>
      <w:r>
        <w:rPr>
          <w:rFonts w:hint="eastAsia" w:ascii="仿宋" w:hAnsi="仿宋" w:eastAsia="仿宋" w:cs="仿宋"/>
          <w:sz w:val="32"/>
          <w:szCs w:val="32"/>
          <w:u w:val="single"/>
        </w:rPr>
        <w:t>》第</w:t>
      </w:r>
      <w:r>
        <w:rPr>
          <w:rFonts w:hint="eastAsia" w:ascii="仿宋" w:hAnsi="仿宋" w:eastAsia="仿宋" w:cs="仿宋"/>
          <w:sz w:val="32"/>
          <w:szCs w:val="32"/>
          <w:u w:val="single"/>
          <w:lang w:val="en-US" w:eastAsia="zh-CN"/>
        </w:rPr>
        <w:t>三</w:t>
      </w:r>
      <w:r>
        <w:rPr>
          <w:rFonts w:hint="eastAsia" w:ascii="仿宋" w:hAnsi="仿宋" w:eastAsia="仿宋" w:cs="仿宋"/>
          <w:sz w:val="32"/>
          <w:szCs w:val="32"/>
          <w:u w:val="single"/>
        </w:rPr>
        <w:t>十</w:t>
      </w:r>
      <w:r>
        <w:rPr>
          <w:rFonts w:hint="eastAsia" w:ascii="仿宋" w:hAnsi="仿宋" w:eastAsia="仿宋" w:cs="仿宋"/>
          <w:sz w:val="32"/>
          <w:szCs w:val="32"/>
          <w:u w:val="single"/>
          <w:lang w:val="en-US" w:eastAsia="zh-CN"/>
        </w:rPr>
        <w:t>六</w:t>
      </w:r>
      <w:r>
        <w:rPr>
          <w:rFonts w:hint="eastAsia" w:ascii="仿宋" w:hAnsi="仿宋" w:eastAsia="仿宋" w:cs="仿宋"/>
          <w:sz w:val="32"/>
          <w:szCs w:val="32"/>
          <w:u w:val="single"/>
        </w:rPr>
        <w:t>条</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第五十三条、第五十七条，《药品经营质量管理规范》第一百三十九条、第一百四十一条、第一百六十八条及《药品经营和使用质量监督管理办法》第四十二条第三款</w:t>
      </w:r>
      <w:r>
        <w:rPr>
          <w:rFonts w:hint="eastAsia" w:ascii="仿宋" w:hAnsi="仿宋" w:eastAsia="仿宋" w:cs="仿宋"/>
          <w:sz w:val="32"/>
          <w:szCs w:val="32"/>
          <w:u w:val="single"/>
        </w:rPr>
        <w:t>的规定</w:t>
      </w:r>
      <w:r>
        <w:rPr>
          <w:rFonts w:hint="eastAsia" w:ascii="仿宋" w:hAnsi="仿宋" w:eastAsia="仿宋" w:cs="仿宋"/>
          <w:spacing w:val="-9"/>
          <w:sz w:val="32"/>
          <w:szCs w:val="32"/>
        </w:rPr>
        <w:t>，</w:t>
      </w:r>
      <w:r>
        <w:rPr>
          <w:rFonts w:hint="eastAsia" w:ascii="仿宋" w:hAnsi="仿宋" w:eastAsia="仿宋" w:cs="仿宋"/>
          <w:spacing w:val="-5"/>
          <w:sz w:val="32"/>
          <w:szCs w:val="32"/>
        </w:rPr>
        <w:t>依据</w:t>
      </w:r>
      <w:r>
        <w:rPr>
          <w:rFonts w:hint="eastAsia" w:ascii="仿宋" w:hAnsi="仿宋" w:eastAsia="仿宋" w:cs="仿宋"/>
          <w:color w:val="333333"/>
          <w:sz w:val="32"/>
          <w:szCs w:val="32"/>
          <w:u w:val="single"/>
        </w:rPr>
        <w:t>《</w:t>
      </w:r>
      <w:r>
        <w:rPr>
          <w:rFonts w:hint="eastAsia" w:ascii="仿宋" w:hAnsi="仿宋" w:eastAsia="仿宋" w:cs="仿宋"/>
          <w:sz w:val="32"/>
          <w:szCs w:val="32"/>
          <w:u w:val="single"/>
          <w:lang w:val="en-US" w:eastAsia="zh-CN"/>
        </w:rPr>
        <w:t>药品经营和使用质量监督管理办法》第七十一条及</w:t>
      </w:r>
      <w:r>
        <w:rPr>
          <w:rFonts w:hint="eastAsia" w:ascii="仿宋" w:hAnsi="仿宋" w:eastAsia="仿宋" w:cs="仿宋"/>
          <w:sz w:val="32"/>
          <w:szCs w:val="32"/>
          <w:u w:val="single"/>
        </w:rPr>
        <w:t>《</w:t>
      </w:r>
      <w:r>
        <w:rPr>
          <w:rFonts w:hint="eastAsia" w:ascii="仿宋" w:hAnsi="仿宋" w:eastAsia="仿宋" w:cs="仿宋"/>
          <w:sz w:val="32"/>
          <w:szCs w:val="32"/>
          <w:u w:val="single"/>
          <w:lang w:val="en-US" w:eastAsia="zh-CN"/>
        </w:rPr>
        <w:t>中华人民共和国药品管理法</w:t>
      </w:r>
      <w:r>
        <w:rPr>
          <w:rFonts w:hint="eastAsia" w:ascii="仿宋" w:hAnsi="仿宋" w:eastAsia="仿宋" w:cs="仿宋"/>
          <w:sz w:val="32"/>
          <w:szCs w:val="32"/>
          <w:u w:val="single"/>
        </w:rPr>
        <w:t>》第</w:t>
      </w:r>
      <w:r>
        <w:rPr>
          <w:rFonts w:hint="eastAsia" w:ascii="仿宋" w:hAnsi="仿宋" w:eastAsia="仿宋" w:cs="仿宋"/>
          <w:sz w:val="32"/>
          <w:szCs w:val="32"/>
          <w:u w:val="single"/>
          <w:lang w:val="en-US" w:eastAsia="zh-CN"/>
        </w:rPr>
        <w:t>一百二</w:t>
      </w:r>
      <w:r>
        <w:rPr>
          <w:rFonts w:hint="eastAsia" w:ascii="仿宋" w:hAnsi="仿宋" w:eastAsia="仿宋" w:cs="仿宋"/>
          <w:sz w:val="32"/>
          <w:szCs w:val="32"/>
          <w:u w:val="single"/>
        </w:rPr>
        <w:t>十</w:t>
      </w:r>
      <w:r>
        <w:rPr>
          <w:rFonts w:hint="eastAsia" w:ascii="仿宋" w:hAnsi="仿宋" w:eastAsia="仿宋" w:cs="仿宋"/>
          <w:sz w:val="32"/>
          <w:szCs w:val="32"/>
          <w:u w:val="single"/>
          <w:lang w:val="en-US" w:eastAsia="zh-CN"/>
        </w:rPr>
        <w:t>六</w:t>
      </w:r>
      <w:r>
        <w:rPr>
          <w:rFonts w:hint="eastAsia" w:ascii="仿宋" w:hAnsi="仿宋" w:eastAsia="仿宋" w:cs="仿宋"/>
          <w:sz w:val="32"/>
          <w:szCs w:val="32"/>
          <w:u w:val="single"/>
        </w:rPr>
        <w:t>条</w:t>
      </w:r>
      <w:r>
        <w:rPr>
          <w:rFonts w:hint="eastAsia" w:ascii="仿宋" w:hAnsi="仿宋" w:eastAsia="仿宋" w:cs="仿宋"/>
          <w:color w:val="333333"/>
          <w:sz w:val="32"/>
          <w:szCs w:val="32"/>
          <w:u w:val="single"/>
        </w:rPr>
        <w:t>的规定，</w:t>
      </w:r>
      <w:r>
        <w:rPr>
          <w:rFonts w:hint="eastAsia" w:ascii="仿宋" w:hAnsi="仿宋" w:eastAsia="仿宋" w:cs="仿宋"/>
          <w:color w:val="333333"/>
          <w:sz w:val="32"/>
          <w:szCs w:val="32"/>
          <w:u w:val="single"/>
          <w:lang w:val="en-US" w:eastAsia="zh-CN"/>
        </w:rPr>
        <w:t>本局</w:t>
      </w:r>
      <w:r>
        <w:rPr>
          <w:rFonts w:hint="eastAsia" w:ascii="仿宋" w:hAnsi="仿宋" w:eastAsia="仿宋" w:cs="仿宋"/>
          <w:color w:val="525353"/>
          <w:sz w:val="32"/>
          <w:szCs w:val="32"/>
          <w:u w:val="single"/>
          <w:shd w:val="clear" w:color="auto" w:fill="FFFFFF"/>
        </w:rPr>
        <w:t>决定</w:t>
      </w:r>
      <w:r>
        <w:rPr>
          <w:rFonts w:hint="eastAsia" w:ascii="仿宋" w:hAnsi="仿宋" w:eastAsia="仿宋" w:cs="仿宋"/>
          <w:color w:val="525353"/>
          <w:sz w:val="32"/>
          <w:szCs w:val="32"/>
          <w:u w:val="single"/>
          <w:shd w:val="clear" w:color="auto" w:fill="FFFFFF"/>
          <w:lang w:val="en-US" w:eastAsia="zh-CN"/>
        </w:rPr>
        <w:t>责令当事人改正违法行为并对当事人做出如下行政</w:t>
      </w:r>
      <w:r>
        <w:rPr>
          <w:rFonts w:hint="eastAsia" w:ascii="仿宋" w:hAnsi="仿宋" w:eastAsia="仿宋" w:cs="仿宋"/>
          <w:color w:val="525353"/>
          <w:sz w:val="32"/>
          <w:szCs w:val="32"/>
          <w:u w:val="single"/>
          <w:shd w:val="clear" w:color="auto" w:fill="FFFFFF"/>
        </w:rPr>
        <w:t>处罚：</w:t>
      </w:r>
      <w:r>
        <w:rPr>
          <w:rFonts w:hint="eastAsia" w:ascii="仿宋" w:hAnsi="仿宋" w:eastAsia="仿宋" w:cs="仿宋"/>
          <w:color w:val="525353"/>
          <w:sz w:val="32"/>
          <w:szCs w:val="32"/>
          <w:u w:val="none"/>
          <w:shd w:val="clear" w:color="auto" w:fill="FFFFFF"/>
          <w:lang w:val="en-US" w:eastAsia="zh-CN"/>
        </w:rPr>
        <w:t xml:space="preserve">                                     </w:t>
      </w:r>
      <w:r>
        <w:rPr>
          <w:rFonts w:hint="eastAsia" w:ascii="仿宋" w:hAnsi="仿宋" w:eastAsia="仿宋" w:cs="仿宋"/>
          <w:color w:val="525353"/>
          <w:sz w:val="32"/>
          <w:szCs w:val="32"/>
          <w:u w:val="single"/>
          <w:shd w:val="clear" w:color="auto" w:fill="FFFFFF"/>
          <w:lang w:val="en-US" w:eastAsia="zh-CN"/>
        </w:rPr>
        <w:t xml:space="preserve">         </w:t>
      </w:r>
      <w:r>
        <w:rPr>
          <w:rFonts w:hint="eastAsia" w:ascii="仿宋" w:hAnsi="仿宋" w:eastAsia="仿宋" w:cs="仿宋"/>
          <w:color w:val="525353"/>
          <w:sz w:val="32"/>
          <w:szCs w:val="32"/>
          <w:u w:val="none"/>
          <w:shd w:val="clear" w:color="auto" w:fill="FFFFFF"/>
        </w:rPr>
        <w:t xml:space="preserve">   </w:t>
      </w:r>
    </w:p>
    <w:p>
      <w:pPr>
        <w:pStyle w:val="4"/>
        <w:keepNext w:val="0"/>
        <w:keepLines w:val="0"/>
        <w:pageBreakBefore w:val="0"/>
        <w:widowControl/>
        <w:kinsoku/>
        <w:wordWrap/>
        <w:overflowPunct/>
        <w:topLinePunct w:val="0"/>
        <w:bidi w:val="0"/>
        <w:snapToGrid/>
        <w:spacing w:before="0" w:beforeAutospacing="0" w:after="0" w:afterAutospacing="0" w:line="540" w:lineRule="exact"/>
        <w:ind w:firstLine="960" w:firstLineChars="300"/>
        <w:textAlignment w:val="auto"/>
        <w:rPr>
          <w:rFonts w:ascii="仿宋" w:hAnsi="仿宋" w:eastAsia="仿宋" w:cs="仿宋"/>
          <w:color w:val="525353"/>
          <w:sz w:val="32"/>
          <w:szCs w:val="32"/>
          <w:u w:val="single"/>
          <w:shd w:val="clear" w:color="auto" w:fill="FFFFFF"/>
        </w:rPr>
      </w:pPr>
      <w:r>
        <w:rPr>
          <w:rFonts w:hint="eastAsia" w:ascii="仿宋" w:hAnsi="仿宋" w:eastAsia="仿宋" w:cs="仿宋"/>
          <w:color w:val="525353"/>
          <w:sz w:val="32"/>
          <w:szCs w:val="32"/>
          <w:u w:val="single"/>
          <w:shd w:val="clear" w:color="auto" w:fill="FFFFFF"/>
          <w:lang w:val="en-US" w:eastAsia="zh-CN"/>
        </w:rPr>
        <w:t>警告</w:t>
      </w:r>
      <w:r>
        <w:rPr>
          <w:rFonts w:hint="eastAsia" w:ascii="仿宋" w:hAnsi="仿宋" w:eastAsia="仿宋" w:cs="仿宋"/>
          <w:color w:val="525353"/>
          <w:sz w:val="32"/>
          <w:szCs w:val="32"/>
          <w:u w:val="single"/>
          <w:shd w:val="clear" w:color="auto" w:fill="FFFFFF"/>
        </w:rPr>
        <w:t xml:space="preserve">  </w:t>
      </w:r>
      <w:r>
        <w:rPr>
          <w:rFonts w:hint="eastAsia" w:ascii="仿宋" w:hAnsi="仿宋" w:eastAsia="仿宋" w:cs="仿宋"/>
          <w:color w:val="525353"/>
          <w:sz w:val="32"/>
          <w:szCs w:val="32"/>
          <w:u w:val="single"/>
          <w:shd w:val="clear" w:color="auto" w:fill="FFFFFF"/>
          <w:lang w:val="en-US" w:eastAsia="zh-CN"/>
        </w:rPr>
        <w:t xml:space="preserve">                                                </w:t>
      </w:r>
      <w:r>
        <w:rPr>
          <w:rFonts w:hint="eastAsia" w:ascii="仿宋" w:hAnsi="仿宋" w:eastAsia="仿宋" w:cs="仿宋"/>
          <w:color w:val="525353"/>
          <w:sz w:val="32"/>
          <w:szCs w:val="32"/>
          <w:u w:val="none"/>
          <w:shd w:val="clear" w:color="auto" w:fill="FFFFFF"/>
        </w:rPr>
        <w:t xml:space="preserve">                                         </w:t>
      </w:r>
      <w:r>
        <w:rPr>
          <w:rFonts w:ascii="仿宋" w:hAnsi="仿宋" w:eastAsia="仿宋" w:cs="仿宋"/>
          <w:color w:val="525353"/>
          <w:sz w:val="32"/>
          <w:szCs w:val="32"/>
          <w:u w:val="none"/>
          <w:shd w:val="clear" w:color="auto" w:fill="FFFFFF"/>
        </w:rPr>
        <w:t xml:space="preserve"> </w:t>
      </w:r>
      <w:r>
        <w:rPr>
          <w:rFonts w:ascii="仿宋" w:hAnsi="仿宋" w:eastAsia="仿宋" w:cs="仿宋"/>
          <w:color w:val="525353"/>
          <w:sz w:val="32"/>
          <w:szCs w:val="32"/>
          <w:u w:val="single"/>
          <w:shd w:val="clear" w:color="auto" w:fill="FFFFFF"/>
        </w:rPr>
        <w:t xml:space="preserve">   </w:t>
      </w:r>
    </w:p>
    <w:bookmarkEnd w:id="5"/>
    <w:p>
      <w:pPr>
        <w:pStyle w:val="4"/>
        <w:keepNext w:val="0"/>
        <w:keepLines w:val="0"/>
        <w:pageBreakBefore w:val="0"/>
        <w:widowControl/>
        <w:kinsoku/>
        <w:wordWrap/>
        <w:overflowPunct/>
        <w:topLinePunct w:val="0"/>
        <w:bidi w:val="0"/>
        <w:snapToGrid/>
        <w:spacing w:before="0" w:beforeAutospacing="0" w:after="0" w:afterAutospacing="0" w:line="540" w:lineRule="exact"/>
        <w:ind w:firstLine="640" w:firstLineChars="200"/>
        <w:textAlignment w:val="auto"/>
        <w:rPr>
          <w:rFonts w:hAnsi="仿宋_GB2312" w:eastAsia="仿宋_GB2312" w:cs="仿宋_GB2312"/>
          <w:bCs/>
          <w:sz w:val="32"/>
          <w:szCs w:val="32"/>
          <w:u w:val="single"/>
        </w:rP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u w:val="single"/>
        </w:rPr>
        <w:t>如不服本处罚决定，可在接到本处罚决定书之日起60日内向鄂伦春自</w:t>
      </w:r>
      <w:r>
        <w:rPr>
          <w:rFonts w:hint="eastAsia" w:ascii="仿宋" w:hAnsi="仿宋" w:eastAsia="仿宋" w:cs="仿宋"/>
          <w:sz w:val="32"/>
          <w:szCs w:val="32"/>
          <w:u w:val="single"/>
        </w:rPr>
        <w:t>治旗人民</w:t>
      </w:r>
      <w:r>
        <w:rPr>
          <w:rFonts w:hint="eastAsia" w:ascii="仿宋" w:hAnsi="仿宋" w:eastAsia="仿宋" w:cs="仿宋"/>
          <w:color w:val="000000"/>
          <w:sz w:val="32"/>
          <w:szCs w:val="32"/>
          <w:u w:val="single"/>
        </w:rPr>
        <w:t xml:space="preserve">政府申请行政复议，也可以于6个月内依法向鄂伦春自治旗人民法院提起行政诉讼。          </w:t>
      </w:r>
      <w:r>
        <w:rPr>
          <w:rFonts w:hint="eastAsia" w:ascii="仿宋_GB2312" w:hAnsi="仿宋" w:eastAsia="仿宋_GB2312"/>
          <w:color w:val="000000"/>
          <w:sz w:val="32"/>
          <w:szCs w:val="32"/>
          <w:u w:val="single"/>
        </w:rPr>
        <w:t xml:space="preserve">                     </w:t>
      </w:r>
      <w:r>
        <w:rPr>
          <w:rFonts w:hint="eastAsia" w:ascii="仿宋_GB2312" w:eastAsia="仿宋_GB2312"/>
          <w:sz w:val="32"/>
          <w:szCs w:val="32"/>
          <w:u w:val="single"/>
        </w:rPr>
        <w:t xml:space="preserve">                                           </w:t>
      </w:r>
    </w:p>
    <w:p>
      <w:pPr>
        <w:keepNext w:val="0"/>
        <w:keepLines w:val="0"/>
        <w:pageBreakBefore w:val="0"/>
        <w:kinsoku/>
        <w:wordWrap/>
        <w:overflowPunct/>
        <w:topLinePunct w:val="0"/>
        <w:bidi w:val="0"/>
        <w:snapToGrid/>
        <w:spacing w:line="540" w:lineRule="exact"/>
        <w:textAlignment w:val="auto"/>
        <w:rPr>
          <w:rFonts w:ascii="仿宋" w:hAnsi="仿宋" w:eastAsia="仿宋" w:cs="仿宋"/>
          <w:sz w:val="32"/>
          <w:szCs w:val="32"/>
        </w:rPr>
      </w:pPr>
    </w:p>
    <w:p>
      <w:pPr>
        <w:spacing w:line="320" w:lineRule="exact"/>
        <w:ind w:firstLine="3840" w:firstLineChars="1200"/>
        <w:rPr>
          <w:rFonts w:ascii="仿宋" w:hAnsi="仿宋" w:eastAsia="仿宋" w:cs="仿宋"/>
          <w:sz w:val="32"/>
          <w:szCs w:val="32"/>
        </w:rPr>
      </w:pPr>
      <w:r>
        <w:rPr>
          <w:rFonts w:hint="eastAsia" w:ascii="仿宋" w:hAnsi="仿宋" w:eastAsia="仿宋" w:cs="仿宋"/>
          <w:sz w:val="32"/>
          <w:szCs w:val="32"/>
        </w:rPr>
        <w:t>鄂伦春自治旗市场监督管理局</w:t>
      </w:r>
    </w:p>
    <w:p>
      <w:pPr>
        <w:spacing w:line="320" w:lineRule="exact"/>
        <w:rPr>
          <w:rFonts w:ascii="仿宋" w:hAnsi="仿宋" w:eastAsia="仿宋" w:cs="仿宋"/>
          <w:color w:val="0000FF"/>
          <w:sz w:val="32"/>
          <w:szCs w:val="32"/>
        </w:rPr>
      </w:pPr>
      <w:r>
        <w:rPr>
          <w:rFonts w:hint="eastAsia" w:ascii="仿宋" w:hAnsi="仿宋" w:eastAsia="仿宋" w:cs="仿宋"/>
          <w:sz w:val="32"/>
          <w:szCs w:val="32"/>
        </w:rPr>
        <w:t xml:space="preserve">                                （印章）                         </w:t>
      </w:r>
      <w:r>
        <w:rPr>
          <w:rFonts w:hint="eastAsia" w:ascii="仿宋" w:hAnsi="仿宋" w:eastAsia="仿宋" w:cs="仿宋"/>
          <w:color w:val="0000FF"/>
          <w:sz w:val="32"/>
          <w:szCs w:val="32"/>
        </w:rPr>
        <w:t xml:space="preserve"> </w:t>
      </w:r>
    </w:p>
    <w:p>
      <w:pPr>
        <w:spacing w:line="400" w:lineRule="exact"/>
        <w:ind w:firstLine="4480" w:firstLineChars="1400"/>
        <w:rPr>
          <w:rFonts w:ascii="仿宋" w:hAnsi="仿宋" w:eastAsia="仿宋" w:cs="仿宋"/>
          <w:sz w:val="32"/>
          <w:szCs w:val="32"/>
        </w:rPr>
      </w:pPr>
      <w:r>
        <w:rPr>
          <w:rFonts w:hint="eastAsia" w:ascii="仿宋" w:hAnsi="仿宋" w:eastAsia="仿宋" w:cs="仿宋"/>
          <w:sz w:val="32"/>
          <w:szCs w:val="32"/>
        </w:rPr>
        <w:t xml:space="preserve"> 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1</w:t>
      </w:r>
      <w:r>
        <w:rPr>
          <w:rFonts w:hint="eastAsia" w:ascii="仿宋" w:hAnsi="仿宋" w:eastAsia="仿宋" w:cs="仿宋"/>
          <w:sz w:val="32"/>
          <w:szCs w:val="32"/>
        </w:rPr>
        <w:t>月</w:t>
      </w:r>
      <w:r>
        <w:rPr>
          <w:rFonts w:hint="eastAsia" w:ascii="仿宋" w:hAnsi="仿宋" w:eastAsia="仿宋" w:cs="仿宋"/>
          <w:sz w:val="32"/>
          <w:szCs w:val="32"/>
          <w:lang w:val="en-US" w:eastAsia="zh-CN"/>
        </w:rPr>
        <w:t>20</w:t>
      </w:r>
      <w:r>
        <w:rPr>
          <w:rFonts w:hint="eastAsia" w:ascii="仿宋" w:hAnsi="仿宋" w:eastAsia="仿宋" w:cs="仿宋"/>
          <w:sz w:val="32"/>
          <w:szCs w:val="32"/>
        </w:rPr>
        <w:t>日</w:t>
      </w:r>
    </w:p>
    <w:p>
      <w:pPr>
        <w:spacing w:line="400" w:lineRule="exact"/>
        <w:rPr>
          <w:rFonts w:ascii="仿宋" w:hAnsi="仿宋" w:eastAsia="仿宋" w:cs="仿宋"/>
          <w:sz w:val="32"/>
          <w:szCs w:val="32"/>
        </w:rPr>
      </w:pPr>
    </w:p>
    <w:p>
      <w:pPr>
        <w:spacing w:line="400" w:lineRule="exact"/>
        <w:rPr>
          <w:rFonts w:ascii="仿宋" w:hAnsi="仿宋" w:eastAsia="仿宋" w:cs="仿宋"/>
          <w:sz w:val="32"/>
          <w:szCs w:val="32"/>
        </w:rPr>
      </w:pPr>
      <w:r>
        <w:rPr>
          <w:rFonts w:hint="eastAsia" w:ascii="仿宋" w:hAnsi="仿宋" w:eastAsia="仿宋" w:cs="仿宋"/>
          <w:color w:val="000000"/>
          <w:sz w:val="32"/>
          <w:szCs w:val="32"/>
        </w:rPr>
        <w:t>（</w:t>
      </w:r>
      <w:r>
        <w:rPr>
          <w:rFonts w:hint="eastAsia" w:ascii="仿宋" w:hAnsi="仿宋" w:eastAsia="仿宋" w:cs="仿宋"/>
          <w:sz w:val="32"/>
          <w:szCs w:val="32"/>
        </w:rPr>
        <w:t>市场监督管理部门将依法向社会公示行政处罚决定信息）</w:t>
      </w:r>
      <w:r>
        <w:rPr>
          <w:rFonts w:hint="eastAsia" w:ascii="仿宋_GB2312" w:eastAsia="仿宋_GB2312"/>
          <w:sz w:val="32"/>
          <w:szCs w:val="32"/>
        </w:rPr>
        <w:t xml:space="preserve">  </w:t>
      </w:r>
    </w:p>
    <w:p>
      <w:pPr>
        <w:spacing w:line="320" w:lineRule="exact"/>
        <w:rPr>
          <w:rFonts w:hint="eastAsia" w:ascii="仿宋_GB2312" w:eastAsia="仿宋_GB2312"/>
          <w:sz w:val="28"/>
          <w:szCs w:val="28"/>
          <w:u w:val="single"/>
        </w:rPr>
      </w:pPr>
      <w:r>
        <w:rPr>
          <w:rFonts w:hint="eastAsia" w:ascii="仿宋" w:hAnsi="仿宋" w:eastAsia="仿宋" w:cs="仿宋"/>
          <w:sz w:val="32"/>
          <w:szCs w:val="32"/>
        </w:rPr>
        <w:t xml:space="preserve"> </w:t>
      </w:r>
      <w:r>
        <w:rPr>
          <w:rFonts w:hint="eastAsia" w:ascii="仿宋_GB2312" w:eastAsia="仿宋_GB2312"/>
          <w:sz w:val="28"/>
          <w:szCs w:val="28"/>
          <w:u w:val="single"/>
        </w:rPr>
        <w:t xml:space="preserve">                              　                       </w:t>
      </w:r>
    </w:p>
    <w:p>
      <w:pPr>
        <w:spacing w:line="320" w:lineRule="exact"/>
        <w:ind w:firstLine="320" w:firstLineChars="100"/>
        <w:rPr>
          <w:rFonts w:ascii="仿宋_GB2312" w:eastAsia="仿宋_GB2312"/>
          <w:sz w:val="28"/>
          <w:szCs w:val="28"/>
          <w:u w:val="single"/>
        </w:rPr>
      </w:pPr>
      <w:r>
        <w:rPr>
          <w:rFonts w:hint="eastAsia" w:ascii="仿宋" w:hAnsi="仿宋" w:eastAsia="仿宋" w:cs="仿宋"/>
          <w:sz w:val="32"/>
          <w:szCs w:val="32"/>
        </w:rPr>
        <w:t xml:space="preserve">本文书一式二份，一份送达，一份归档。  </w:t>
      </w:r>
      <w:r>
        <w:rPr>
          <w:rFonts w:hint="eastAsia" w:ascii="仿宋_GB2312" w:eastAsia="仿宋_GB2312"/>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r>
        <w:rPr>
          <w:rFonts w:hint="eastAsia" w:ascii="仿宋_GB2312" w:eastAsia="仿宋_GB2312"/>
          <w:sz w:val="32"/>
          <w:szCs w:val="32"/>
          <w:u w:val="single"/>
        </w:rPr>
        <w:t xml:space="preserve">                             　                                       　                          </w:t>
      </w:r>
    </w:p>
    <w:p>
      <w:pPr>
        <w:spacing w:line="320" w:lineRule="exact"/>
        <w:rPr>
          <w:rFonts w:ascii="仿宋_GB2312" w:eastAsia="仿宋_GB2312"/>
          <w:sz w:val="32"/>
          <w:szCs w:val="32"/>
          <w:u w:val="single"/>
        </w:rPr>
      </w:pPr>
    </w:p>
    <w:p>
      <w:pPr>
        <w:spacing w:line="320" w:lineRule="exact"/>
        <w:rPr>
          <w:rFonts w:ascii="仿宋_GB2312" w:eastAsia="仿宋_GB2312"/>
          <w:sz w:val="32"/>
          <w:szCs w:val="32"/>
          <w:u w:val="single"/>
        </w:rPr>
      </w:pPr>
    </w:p>
    <w:p>
      <w:pPr>
        <w:spacing w:line="320" w:lineRule="exact"/>
        <w:rPr>
          <w:rFonts w:ascii="仿宋_GB2312" w:eastAsia="仿宋_GB2312"/>
          <w:sz w:val="32"/>
          <w:szCs w:val="32"/>
          <w:u w:val="single"/>
        </w:rPr>
      </w:pPr>
    </w:p>
    <w:p>
      <w:pPr>
        <w:spacing w:line="320" w:lineRule="exact"/>
        <w:rPr>
          <w:rFonts w:ascii="仿宋_GB2312" w:eastAsia="仿宋_GB2312"/>
          <w:sz w:val="32"/>
          <w:szCs w:val="32"/>
          <w:u w:val="single"/>
        </w:rPr>
      </w:pPr>
    </w:p>
    <w:p>
      <w:pPr>
        <w:spacing w:line="320" w:lineRule="exact"/>
        <w:rPr>
          <w:rFonts w:ascii="仿宋_GB2312" w:eastAsia="仿宋_GB2312"/>
          <w:sz w:val="32"/>
          <w:szCs w:val="32"/>
          <w:u w:val="single"/>
        </w:rPr>
      </w:pPr>
    </w:p>
    <w:p>
      <w:pPr>
        <w:spacing w:line="320" w:lineRule="exact"/>
        <w:rPr>
          <w:rFonts w:ascii="仿宋_GB2312" w:eastAsia="仿宋_GB2312"/>
          <w:sz w:val="32"/>
          <w:szCs w:val="32"/>
          <w:u w:val="single"/>
        </w:rPr>
      </w:pPr>
    </w:p>
    <w:p>
      <w:pPr>
        <w:spacing w:line="320" w:lineRule="exact"/>
        <w:rPr>
          <w:rFonts w:ascii="仿宋_GB2312" w:eastAsia="仿宋_GB2312"/>
          <w:sz w:val="32"/>
          <w:szCs w:val="32"/>
          <w:u w:val="single"/>
        </w:rPr>
      </w:pPr>
    </w:p>
    <w:p>
      <w:pPr>
        <w:spacing w:line="320" w:lineRule="exact"/>
        <w:rPr>
          <w:rFonts w:ascii="仿宋_GB2312" w:eastAsia="仿宋_GB2312"/>
          <w:sz w:val="32"/>
          <w:szCs w:val="32"/>
          <w:u w:val="single"/>
        </w:rPr>
      </w:pPr>
      <w:r>
        <w:rPr>
          <w:rFonts w:hint="eastAsia" w:ascii="仿宋" w:hAnsi="仿宋" w:eastAsia="仿宋" w:cs="仿宋"/>
          <w:sz w:val="32"/>
          <w:szCs w:val="32"/>
        </w:rPr>
        <w:t xml:space="preserve">  </w:t>
      </w:r>
      <w:r>
        <w:rPr>
          <w:rFonts w:hint="eastAsia" w:ascii="仿宋_GB2312" w:eastAsia="仿宋_GB2312"/>
          <w:sz w:val="32"/>
          <w:szCs w:val="32"/>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auto"/>
    <w:pitch w:val="default"/>
    <w:sig w:usb0="00000000" w:usb1="00000000" w:usb2="00000010" w:usb3="00000000" w:csb0="00040001"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0MWJkZjZkOTcxMjBiYzZmNjZmNTQzZjk3MWM1MjIifQ=="/>
  </w:docVars>
  <w:rsids>
    <w:rsidRoot w:val="00AF079F"/>
    <w:rsid w:val="00001864"/>
    <w:rsid w:val="00011984"/>
    <w:rsid w:val="000126E8"/>
    <w:rsid w:val="00027116"/>
    <w:rsid w:val="00033AC7"/>
    <w:rsid w:val="00034BA2"/>
    <w:rsid w:val="000576A8"/>
    <w:rsid w:val="00057E3E"/>
    <w:rsid w:val="000734FF"/>
    <w:rsid w:val="000A3429"/>
    <w:rsid w:val="000F5875"/>
    <w:rsid w:val="00103323"/>
    <w:rsid w:val="00117E77"/>
    <w:rsid w:val="00131CF0"/>
    <w:rsid w:val="00155844"/>
    <w:rsid w:val="00170647"/>
    <w:rsid w:val="00170C83"/>
    <w:rsid w:val="00182889"/>
    <w:rsid w:val="001A774F"/>
    <w:rsid w:val="001B018A"/>
    <w:rsid w:val="001B39D3"/>
    <w:rsid w:val="001C27F4"/>
    <w:rsid w:val="001F72AC"/>
    <w:rsid w:val="0020092E"/>
    <w:rsid w:val="00227D02"/>
    <w:rsid w:val="002522C6"/>
    <w:rsid w:val="00260874"/>
    <w:rsid w:val="00274CF8"/>
    <w:rsid w:val="002A0BF7"/>
    <w:rsid w:val="002D70BD"/>
    <w:rsid w:val="002F1F74"/>
    <w:rsid w:val="00337F62"/>
    <w:rsid w:val="00345F5D"/>
    <w:rsid w:val="00355AD1"/>
    <w:rsid w:val="003B33C7"/>
    <w:rsid w:val="003E56D3"/>
    <w:rsid w:val="003E6401"/>
    <w:rsid w:val="00405DC6"/>
    <w:rsid w:val="00421F26"/>
    <w:rsid w:val="00432E91"/>
    <w:rsid w:val="00460666"/>
    <w:rsid w:val="00482C16"/>
    <w:rsid w:val="004C372C"/>
    <w:rsid w:val="004D3BAA"/>
    <w:rsid w:val="004F6A81"/>
    <w:rsid w:val="0052760C"/>
    <w:rsid w:val="00530971"/>
    <w:rsid w:val="00533578"/>
    <w:rsid w:val="00546A3D"/>
    <w:rsid w:val="00547795"/>
    <w:rsid w:val="00564F7D"/>
    <w:rsid w:val="005660A5"/>
    <w:rsid w:val="00571BCA"/>
    <w:rsid w:val="005842DD"/>
    <w:rsid w:val="00584EF6"/>
    <w:rsid w:val="00596C0C"/>
    <w:rsid w:val="005A194C"/>
    <w:rsid w:val="005A6C3E"/>
    <w:rsid w:val="005D6DBF"/>
    <w:rsid w:val="005E1DFA"/>
    <w:rsid w:val="0062439C"/>
    <w:rsid w:val="00655823"/>
    <w:rsid w:val="00657960"/>
    <w:rsid w:val="00664239"/>
    <w:rsid w:val="006F6630"/>
    <w:rsid w:val="00700297"/>
    <w:rsid w:val="00724C22"/>
    <w:rsid w:val="00726305"/>
    <w:rsid w:val="00730609"/>
    <w:rsid w:val="00772C00"/>
    <w:rsid w:val="007759A9"/>
    <w:rsid w:val="007C0BD8"/>
    <w:rsid w:val="007C6D29"/>
    <w:rsid w:val="007D014E"/>
    <w:rsid w:val="007E176F"/>
    <w:rsid w:val="00850099"/>
    <w:rsid w:val="008839E9"/>
    <w:rsid w:val="00885315"/>
    <w:rsid w:val="008A568A"/>
    <w:rsid w:val="008C1FD6"/>
    <w:rsid w:val="008C47BF"/>
    <w:rsid w:val="008C5B18"/>
    <w:rsid w:val="008E68C4"/>
    <w:rsid w:val="008F7643"/>
    <w:rsid w:val="00926753"/>
    <w:rsid w:val="00946D9E"/>
    <w:rsid w:val="00990A2B"/>
    <w:rsid w:val="009A56D5"/>
    <w:rsid w:val="009C0C14"/>
    <w:rsid w:val="009C6D96"/>
    <w:rsid w:val="009F024F"/>
    <w:rsid w:val="009F7AE6"/>
    <w:rsid w:val="00A16658"/>
    <w:rsid w:val="00A255D8"/>
    <w:rsid w:val="00A2765D"/>
    <w:rsid w:val="00A42458"/>
    <w:rsid w:val="00A7244D"/>
    <w:rsid w:val="00A72D00"/>
    <w:rsid w:val="00A7725D"/>
    <w:rsid w:val="00A949B0"/>
    <w:rsid w:val="00AB1BED"/>
    <w:rsid w:val="00AF0731"/>
    <w:rsid w:val="00AF079F"/>
    <w:rsid w:val="00B132B7"/>
    <w:rsid w:val="00B147A3"/>
    <w:rsid w:val="00B1676F"/>
    <w:rsid w:val="00B36946"/>
    <w:rsid w:val="00B53325"/>
    <w:rsid w:val="00B963BA"/>
    <w:rsid w:val="00C149A7"/>
    <w:rsid w:val="00C54C12"/>
    <w:rsid w:val="00C75268"/>
    <w:rsid w:val="00CB0983"/>
    <w:rsid w:val="00CD0950"/>
    <w:rsid w:val="00CD5F9F"/>
    <w:rsid w:val="00CE119A"/>
    <w:rsid w:val="00CF1598"/>
    <w:rsid w:val="00D02814"/>
    <w:rsid w:val="00D120AC"/>
    <w:rsid w:val="00D13FF6"/>
    <w:rsid w:val="00D175D7"/>
    <w:rsid w:val="00D82A48"/>
    <w:rsid w:val="00D86DE3"/>
    <w:rsid w:val="00D878A1"/>
    <w:rsid w:val="00D967AA"/>
    <w:rsid w:val="00DA4B13"/>
    <w:rsid w:val="00DB1D81"/>
    <w:rsid w:val="00DF0BD1"/>
    <w:rsid w:val="00DF349F"/>
    <w:rsid w:val="00E11E91"/>
    <w:rsid w:val="00E24ACD"/>
    <w:rsid w:val="00E2581A"/>
    <w:rsid w:val="00E45C26"/>
    <w:rsid w:val="00E64AA2"/>
    <w:rsid w:val="00E7716F"/>
    <w:rsid w:val="00E869B3"/>
    <w:rsid w:val="00ED5D75"/>
    <w:rsid w:val="00F27CA3"/>
    <w:rsid w:val="00F32DD5"/>
    <w:rsid w:val="00F502D3"/>
    <w:rsid w:val="00F54114"/>
    <w:rsid w:val="00F6126B"/>
    <w:rsid w:val="00F63249"/>
    <w:rsid w:val="00FF77FD"/>
    <w:rsid w:val="015C07B3"/>
    <w:rsid w:val="02522DE8"/>
    <w:rsid w:val="02794CD4"/>
    <w:rsid w:val="03321575"/>
    <w:rsid w:val="03422947"/>
    <w:rsid w:val="038A2238"/>
    <w:rsid w:val="03D40A10"/>
    <w:rsid w:val="04371571"/>
    <w:rsid w:val="05EE40F9"/>
    <w:rsid w:val="06512CA5"/>
    <w:rsid w:val="06B437D7"/>
    <w:rsid w:val="07FC25DD"/>
    <w:rsid w:val="08121F7C"/>
    <w:rsid w:val="082641D4"/>
    <w:rsid w:val="08685C2C"/>
    <w:rsid w:val="096E1882"/>
    <w:rsid w:val="0A7C4871"/>
    <w:rsid w:val="0B4B1321"/>
    <w:rsid w:val="0B7B0D1B"/>
    <w:rsid w:val="0C54325C"/>
    <w:rsid w:val="0C925FDA"/>
    <w:rsid w:val="0D1F0729"/>
    <w:rsid w:val="0D4435DC"/>
    <w:rsid w:val="0D8F760D"/>
    <w:rsid w:val="0DD81ED0"/>
    <w:rsid w:val="0E0F7DC0"/>
    <w:rsid w:val="0E782B1E"/>
    <w:rsid w:val="0E825897"/>
    <w:rsid w:val="0EAF75B3"/>
    <w:rsid w:val="0FB00C50"/>
    <w:rsid w:val="105E3BA4"/>
    <w:rsid w:val="10AF2E01"/>
    <w:rsid w:val="11DB5E45"/>
    <w:rsid w:val="11E325A5"/>
    <w:rsid w:val="12056D8A"/>
    <w:rsid w:val="143C307A"/>
    <w:rsid w:val="149A4962"/>
    <w:rsid w:val="162D1CDF"/>
    <w:rsid w:val="16E87319"/>
    <w:rsid w:val="16EA0D59"/>
    <w:rsid w:val="17BE2EC4"/>
    <w:rsid w:val="189E42A4"/>
    <w:rsid w:val="18C04346"/>
    <w:rsid w:val="197233CA"/>
    <w:rsid w:val="1B2A4671"/>
    <w:rsid w:val="1B3E0EDE"/>
    <w:rsid w:val="1BC928A8"/>
    <w:rsid w:val="1CA514F8"/>
    <w:rsid w:val="1DA42F25"/>
    <w:rsid w:val="1E6C6F1E"/>
    <w:rsid w:val="1E711766"/>
    <w:rsid w:val="1E8633FD"/>
    <w:rsid w:val="1F5E544C"/>
    <w:rsid w:val="1F955786"/>
    <w:rsid w:val="1FE74365"/>
    <w:rsid w:val="1FEC2A6B"/>
    <w:rsid w:val="20536479"/>
    <w:rsid w:val="20FE1AE9"/>
    <w:rsid w:val="21436C7B"/>
    <w:rsid w:val="21CA30D5"/>
    <w:rsid w:val="22667DAA"/>
    <w:rsid w:val="22AE37EA"/>
    <w:rsid w:val="22D3475E"/>
    <w:rsid w:val="22EB6C32"/>
    <w:rsid w:val="23237C6F"/>
    <w:rsid w:val="23383418"/>
    <w:rsid w:val="23A00A45"/>
    <w:rsid w:val="23B05BF5"/>
    <w:rsid w:val="23C87FC3"/>
    <w:rsid w:val="24077FC8"/>
    <w:rsid w:val="25702FF9"/>
    <w:rsid w:val="25E94E09"/>
    <w:rsid w:val="262F2918"/>
    <w:rsid w:val="26AC67C8"/>
    <w:rsid w:val="273D01A1"/>
    <w:rsid w:val="27CB40E7"/>
    <w:rsid w:val="2803782B"/>
    <w:rsid w:val="28212F67"/>
    <w:rsid w:val="29B058C6"/>
    <w:rsid w:val="2AE1684B"/>
    <w:rsid w:val="2B924C91"/>
    <w:rsid w:val="2BD836DD"/>
    <w:rsid w:val="2C102A5D"/>
    <w:rsid w:val="2C46763C"/>
    <w:rsid w:val="2C943A6E"/>
    <w:rsid w:val="2C9C29DA"/>
    <w:rsid w:val="2CA53047"/>
    <w:rsid w:val="2D407953"/>
    <w:rsid w:val="2D4A2680"/>
    <w:rsid w:val="2D5D65C2"/>
    <w:rsid w:val="2D935C7D"/>
    <w:rsid w:val="2DE732F1"/>
    <w:rsid w:val="2F0D1C7C"/>
    <w:rsid w:val="2F193951"/>
    <w:rsid w:val="30016690"/>
    <w:rsid w:val="30634FF0"/>
    <w:rsid w:val="318400C2"/>
    <w:rsid w:val="31C4581D"/>
    <w:rsid w:val="31DB09C7"/>
    <w:rsid w:val="324F4CBB"/>
    <w:rsid w:val="32737163"/>
    <w:rsid w:val="32A645AC"/>
    <w:rsid w:val="33A4104B"/>
    <w:rsid w:val="34887F77"/>
    <w:rsid w:val="34FA662F"/>
    <w:rsid w:val="35655934"/>
    <w:rsid w:val="37272CB8"/>
    <w:rsid w:val="391F3B0B"/>
    <w:rsid w:val="397E6192"/>
    <w:rsid w:val="39A56749"/>
    <w:rsid w:val="3A9F6886"/>
    <w:rsid w:val="3AE76FA9"/>
    <w:rsid w:val="3B8C0778"/>
    <w:rsid w:val="3B9064C4"/>
    <w:rsid w:val="3C3D6A12"/>
    <w:rsid w:val="3D13038D"/>
    <w:rsid w:val="3D4E2213"/>
    <w:rsid w:val="3D790F90"/>
    <w:rsid w:val="3DF73E58"/>
    <w:rsid w:val="3F694085"/>
    <w:rsid w:val="40103A30"/>
    <w:rsid w:val="40C54D2D"/>
    <w:rsid w:val="40F1280E"/>
    <w:rsid w:val="412C4D71"/>
    <w:rsid w:val="41FD4D47"/>
    <w:rsid w:val="42505885"/>
    <w:rsid w:val="42731109"/>
    <w:rsid w:val="42784CD2"/>
    <w:rsid w:val="42AA603E"/>
    <w:rsid w:val="42E001CF"/>
    <w:rsid w:val="44CA0531"/>
    <w:rsid w:val="45D54D2A"/>
    <w:rsid w:val="45E7326E"/>
    <w:rsid w:val="460562F4"/>
    <w:rsid w:val="461D5F95"/>
    <w:rsid w:val="47BD5177"/>
    <w:rsid w:val="48252EB7"/>
    <w:rsid w:val="484C1A0C"/>
    <w:rsid w:val="48763EB7"/>
    <w:rsid w:val="492562AE"/>
    <w:rsid w:val="49E609F8"/>
    <w:rsid w:val="4A3A5996"/>
    <w:rsid w:val="4AA372B0"/>
    <w:rsid w:val="4AF00737"/>
    <w:rsid w:val="4CA67BE7"/>
    <w:rsid w:val="4D0365F9"/>
    <w:rsid w:val="4D091E20"/>
    <w:rsid w:val="4D3C4C7F"/>
    <w:rsid w:val="4F624CAF"/>
    <w:rsid w:val="4F8171C3"/>
    <w:rsid w:val="4F823AE5"/>
    <w:rsid w:val="4FDE3AA7"/>
    <w:rsid w:val="4FF7161A"/>
    <w:rsid w:val="50D668DF"/>
    <w:rsid w:val="517F5412"/>
    <w:rsid w:val="5338795D"/>
    <w:rsid w:val="5443646A"/>
    <w:rsid w:val="54AF7CA4"/>
    <w:rsid w:val="55D22DC7"/>
    <w:rsid w:val="56D21F2D"/>
    <w:rsid w:val="56F65BB0"/>
    <w:rsid w:val="572B1141"/>
    <w:rsid w:val="57CF4121"/>
    <w:rsid w:val="57F36F95"/>
    <w:rsid w:val="58266627"/>
    <w:rsid w:val="596A4606"/>
    <w:rsid w:val="5AB20BA8"/>
    <w:rsid w:val="5AFC77EC"/>
    <w:rsid w:val="5B2E13FC"/>
    <w:rsid w:val="5B70127E"/>
    <w:rsid w:val="5C3A1E6B"/>
    <w:rsid w:val="5C7A50CE"/>
    <w:rsid w:val="5E717FEB"/>
    <w:rsid w:val="5EA25801"/>
    <w:rsid w:val="5FFE2AB2"/>
    <w:rsid w:val="60212E8E"/>
    <w:rsid w:val="604205AF"/>
    <w:rsid w:val="62AE632A"/>
    <w:rsid w:val="62FD6601"/>
    <w:rsid w:val="64C672AA"/>
    <w:rsid w:val="64C91D83"/>
    <w:rsid w:val="65414687"/>
    <w:rsid w:val="68093B9A"/>
    <w:rsid w:val="68AE077C"/>
    <w:rsid w:val="698C51C9"/>
    <w:rsid w:val="699036A7"/>
    <w:rsid w:val="6A1C38AD"/>
    <w:rsid w:val="6CE632FE"/>
    <w:rsid w:val="6D254251"/>
    <w:rsid w:val="6D9953F9"/>
    <w:rsid w:val="6E7354DF"/>
    <w:rsid w:val="6E9115F4"/>
    <w:rsid w:val="6F8D44EF"/>
    <w:rsid w:val="70C6062E"/>
    <w:rsid w:val="70ED7178"/>
    <w:rsid w:val="71445BB4"/>
    <w:rsid w:val="717E4783"/>
    <w:rsid w:val="720B0D0B"/>
    <w:rsid w:val="72286A0F"/>
    <w:rsid w:val="723C5728"/>
    <w:rsid w:val="72A06F54"/>
    <w:rsid w:val="72F51368"/>
    <w:rsid w:val="730C0B4F"/>
    <w:rsid w:val="735C09E1"/>
    <w:rsid w:val="735E52D3"/>
    <w:rsid w:val="73CB5EE6"/>
    <w:rsid w:val="73F96644"/>
    <w:rsid w:val="7456511B"/>
    <w:rsid w:val="74D779E9"/>
    <w:rsid w:val="75992F86"/>
    <w:rsid w:val="7606339A"/>
    <w:rsid w:val="760648FA"/>
    <w:rsid w:val="763B531C"/>
    <w:rsid w:val="76653BA6"/>
    <w:rsid w:val="785F0B69"/>
    <w:rsid w:val="792F7E12"/>
    <w:rsid w:val="794A2208"/>
    <w:rsid w:val="79590557"/>
    <w:rsid w:val="79972D06"/>
    <w:rsid w:val="79A77E07"/>
    <w:rsid w:val="79D75430"/>
    <w:rsid w:val="7A4600F7"/>
    <w:rsid w:val="7A9752B4"/>
    <w:rsid w:val="7B2C7F63"/>
    <w:rsid w:val="7B9F3168"/>
    <w:rsid w:val="7BF22AC5"/>
    <w:rsid w:val="7CF67CBE"/>
    <w:rsid w:val="7D492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0"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sz w:val="18"/>
      <w:szCs w:val="18"/>
    </w:rPr>
  </w:style>
  <w:style w:type="paragraph" w:styleId="3">
    <w:name w:val="header"/>
    <w:basedOn w:val="1"/>
    <w:link w:val="8"/>
    <w:unhideWhenUsed/>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styleId="4">
    <w:name w:val="Normal (Web)"/>
    <w:basedOn w:val="1"/>
    <w:unhideWhenUsed/>
    <w:qFormat/>
    <w:uiPriority w:val="99"/>
    <w:pPr>
      <w:spacing w:before="100" w:beforeAutospacing="1" w:after="100" w:afterAutospacing="1"/>
      <w:jc w:val="left"/>
    </w:pPr>
    <w:rPr>
      <w:kern w:val="0"/>
      <w:sz w:val="24"/>
    </w:rPr>
  </w:style>
  <w:style w:type="paragraph" w:customStyle="1" w:styleId="7">
    <w:name w:val="p17"/>
    <w:basedOn w:val="1"/>
    <w:qFormat/>
    <w:uiPriority w:val="0"/>
    <w:pPr>
      <w:widowControl/>
      <w:spacing w:before="100" w:after="100"/>
      <w:jc w:val="left"/>
    </w:pPr>
    <w:rPr>
      <w:rFonts w:ascii="宋体" w:hAnsi="宋体" w:cs="宋体"/>
      <w:kern w:val="0"/>
      <w:sz w:val="24"/>
    </w:rPr>
  </w:style>
  <w:style w:type="character" w:customStyle="1" w:styleId="8">
    <w:name w:val="页眉 字符"/>
    <w:basedOn w:val="6"/>
    <w:link w:val="3"/>
    <w:qFormat/>
    <w:uiPriority w:val="0"/>
    <w:rPr>
      <w:sz w:val="18"/>
      <w:szCs w:val="18"/>
    </w:rPr>
  </w:style>
  <w:style w:type="character" w:customStyle="1" w:styleId="9">
    <w:name w:val="页脚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3966</Words>
  <Characters>4295</Characters>
  <Lines>36</Lines>
  <Paragraphs>10</Paragraphs>
  <TotalTime>28</TotalTime>
  <ScaleCrop>false</ScaleCrop>
  <LinksUpToDate>false</LinksUpToDate>
  <CharactersWithSpaces>5638</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2019-04-19T00:23:00Z</dcterms:created>
  <dc:creator>Sky123.Org</dc:creator>
  <cp:lastModifiedBy>GSJ0010</cp:lastModifiedBy>
  <cp:lastPrinted>2026-01-26T01:32:00Z</cp:lastPrinted>
  <dcterms:modified xsi:type="dcterms:W3CDTF">2026-01-28T07:37:12Z</dcterms:modified>
  <dc:title>鄂伦春自治旗市场监督管理局</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0BB92ED52FCC477CA79316ED0B6B432A_13</vt:lpwstr>
  </property>
  <property fmtid="{D5CDD505-2E9C-101B-9397-08002B2CF9AE}" pid="4" name="KSOTemplateDocerSaveRecord">
    <vt:lpwstr>eyJoZGlkIjoiNzE0MWJkZjZkOTcxMjBiYzZmNjZmNTQzZjk3MWM1MjIiLCJ1c2VySWQiOiI1NzYwODEzODAifQ==</vt:lpwstr>
  </property>
</Properties>
</file>